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/>
    <w:p>
      <w:r>
        <w:t xml:space="preserve">SEU PROPRIETÁRIO — QUANDO NÃO PODE  SER SUJEITO ATIVO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Realmente, como evidenciou, com inteira razão, o judicioso parecer da douta Procuradoria da Justiça, in casu, não ocorreu a figura típica do peculato, pois o apelante "não mantinha qualquer vínculo empregatício com a Fundação Municipal de Ensino Superior de Bragança Paulista" (...), sendo "contador autônomo" (...), não sendo "registrado como empregada da Fundação (...), existindo "apenas contrato de serviço, e o réu recebia contra-recibo". - Não se encontrava, pois, o réu sob a previsão do art. 327 do Código Penal, eis que não exercia "cargo, emprego ou função", ainda que transitoriamente, sem remuneração. - Mero proprietário de um escritório de contabilidade, tendo contrato de serviço e recebendo contra-recibo, pelos préstimos à Fundação, não exercia cargo, emprego ou função pública. Ac. de 26-10-1988 Revista dos Tribunais - Outubro de 1988 - Vol. 636 - Pág. 280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Mero proprietário de escritório de Contabilidade, tendo contrato de serviço com fundação municipal e recebendo contra-recibo por seus préstimos, não exerce cargo, emprego ou função pública, não se encontrando sob a previsão do art. 327 do CP. Assim, não pode ser sujeito ativo do delito de peculato, impondo-se a desclassificação o para apropriação indébita.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2026-07-28T02:04:58.943Z</dcterms:created>
  <dcterms:modified xsi:type="dcterms:W3CDTF">2026-07-28T02:04:58.943Z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