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/>
    <w:p>
      <w:r>
        <w:t xml:space="preserve">SEU PROPRIETÁRIO — QUANDO NÃO PODE  SER SUJEITO ATIVO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Realmente, como evidenciou, com inteira razão, o judicioso parecer da douta Procuradoria da Justiça, in casu, não ocorreu a figura típica do peculato, pois o apelante "não mantinha qualquer vínculo empregatício com a Fundação Municipal de Ensino Superior de Bragança Paulista" (...), sendo "contador autônomo" (...), não sendo "registrado como empregada da Fundação (...), existindo "apenas contrato de serviço, e o réu recebia contra-recibo". - Não se encontrava, pois, o réu sob a previsão do art. 327 do Código Penal, eis que não exercia "cargo, emprego ou função", ainda que transitoriamente, sem remuneração. - Mero proprietário de um escritório de contabilidade, tendo contrato de serviço e recebendo contra-recibo, pelos préstimos à Fundação, não exercia cargo, emprego ou função pública. Ac. de 26-10-1988 Revista dos Tribunais - Outubro de 1988 - Vol. 636 - Pág. 280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Mero proprietário de escritório de Contabilidade, tendo contrato de serviço com fundação municipal e recebendo contra-recibo por seus préstimos, não exerce cargo, emprego ou função pública, não se encontrando sob a previsão do art. 327 do CP. Assim, não pode ser sujeito ativo do delito de peculato, impondo-se a desclassificação o para apropriação indébita.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2026-10-26T04:11:04.658Z</dcterms:created>
  <dcterms:modified xsi:type="dcterms:W3CDTF">2026-10-26T04:11:04.658Z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