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Julgado em: </w:t>
      </w:r>
      <w:r>
        <w:t xml:space="preserve">15/11/1984</w:t>
      </w:r>
    </w:p>
    <w:p/>
    <w:p>
      <w:r>
        <w:t xml:space="preserve">RECURSO APENAS DA ACUSAÇÃO — VIOLAÇÃO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Ambas as Turmas destas Corte já firmaram jurisprudência - como demonstra o recorrente com a citação dos RREE 95.801, 99.804, 97.109 e 96.705, os dois primeiros da Primeira Turma, e os dois últimos desta Segunda Turma - no sentido de que decisão que, na ausência de recurso do réu, se utiliza do recurso da acusação tendente a exasperar a pena para minorá-la por meio "reformatio in melius", viola o artigo 574 do Código de Processo Penal. - Com base nesses precedentes, conheço do presente recurso e lhe dou provimento, para restabelecer a decisão de primeiro grau. Julgado em 16-11-1984 Revista Trimestral de Jurisprudência. Novembro, 1985 - Vol. 114 - Pág. 812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Ambas as Turmas desta Corte já firmaram entendimento de que decisão que, na ausência de recurso do réu, se utiliza do recurso da acusação tendente a exasperar a pena, para minorá-la, viola o artigo 574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2026-10-26T05:01:46.771Z</dcterms:created>
  <dcterms:modified xsi:type="dcterms:W3CDTF">2026-10-26T05:01:46.771Z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