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/>
    <w:p>
      <w:r>
        <w:t xml:space="preserve">ANULAÇÃO DE JULGAMENTO — AUSÊNCIA DE RECURSO DO MINISTÉRIO PÚBLICO - QUANDO É INCABÍVEL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da jurisprudência tranqüila e reiterada do Supremo Tribunal Federal que, sendo anulado um julgamento, não pode o réu ser condenado a pena maior se o Ministério Público deixou passar "in albis" o prazo para recorrer do primeiro julgamento e se conformou com a pena aplicada. Assim, se pode ver o julgamento do Recurso de "Habeas Corpus" nº 61.900, publicado na Lex. v. 60, pág. 313, no Recurso de "Habeas Corpus" nº 59.637, de que foi relator o Ministro ALFREDO BUZAID, publicado na mesma revista v. 44, pág. 292, e mais, recentemente, no Recurso de "Habeas Corpus" nº 63.525, do Rio de Janeiro. Ac. de 11-10-1988 Jurisprudência Mineira - Outubro a Dezembro de 1988 - Vol. 104 - Pág. 311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anulado um julgamento, não pode o réu ser condenado a pena maior se o Ministério Público deixou passar "in albis" o prazo para recorrer do primeiro julgamento e se conformou com a pena aplicada.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2026-10-26T06:07:38.040Z</dcterms:created>
  <dcterms:modified xsi:type="dcterms:W3CDTF">2026-10-26T06:07:38.040Z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