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/>
    <w:p>
      <w:r>
        <w:t xml:space="preserve">PENA FIXADA AQUÉM DO MÍNIMO LEGAL — RECURSO EXCLUSIVO DA DEFESA - QUANDO É INCABÍVEL ADEQUÁ-LA À LEI VIGENTE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decisão, deixou o Juiz de considerar a modificação introduzida no art. 214 do C. Penal pela Lei nº 8.072/90, e apenou o réu com sanção aquém do mínimo legal. Entretanto, tendo transitado em julgado a sentença para a acusação, não tem este Tribunal como adequar a pena à lei vigente ao apreciar recurso interposto pelo réu. Ac. de 30-04-1992 Jurisprudência Mineira - Julho a Setembro de 1992 - Vol. 119 - Pág. 264.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transitado em julgado a sentença para a acusação, não tem o Tribunal como adequar a pena à lei vigente ao apreciar recurso interposto pelo réu.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2026-07-28T03:24:14.157Z</dcterms:created>
  <dcterms:modified xsi:type="dcterms:W3CDTF">2026-07-28T03:24:14.157Z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