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HOMICÍDIO QUALIFICADO</w:t>
      </w:r>
    </w:p>
    <w:p/>
    <w:p>
      <w:r>
        <w:rPr>
          <w:b/>
          <w:bCs/>
        </w:rPr>
        <w:t xml:space="preserve">Tribunal: </w:t>
      </w:r>
      <w:r>
        <w:t xml:space="preserve">TJSP</w:t>
      </w:r>
    </w:p>
    <w:p>
      <w:r>
        <w:rPr>
          <w:b/>
          <w:bCs/>
        </w:rPr>
        <w:t xml:space="preserve">Relator: </w:t>
      </w:r>
      <w:r>
        <w:t xml:space="preserve">CANTIDIANO DE ALMEIDA</w:t>
      </w:r>
    </w:p>
    <w:p/>
    <w:p>
      <w:r>
        <w:t xml:space="preserve">CIRCUNSTÂNCIAS CONSIDERADAS PARA A QUALIFICAÇÃO DO CRIME — SE PODEM AGRAVAR A PENA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Para o homicídio qualificado por motivo fútil a pena-base foi fixada em seu mínimo legal, ou seja, em 12 anos de reclusão. A partir da pena-base o Juiz sentenciante aplicou uma agravante não submetida à apreciação do Conselho de Sentença e, pior que isso, que constitui um autêntico e inadmissível "bis in idem", qual seja, o motivo fútil, que já servira para qualificar o crime e estabelecer limites mais elevados de cominação da reprimenda. "As circunstâncias que participaram da caracterização do delito, qualificando-o, não podem funcionar, também, como agravantes" (TJSP - AC - Rel. CANTIDIANO DE ALMEIDA - RT, 389/100) - Nisso têm razão a defesa e a acusação, devendo a majoração pela agravante ser decotada nesta instância. Ac. de 14-02-1995 Jurisprudência Mineira - Abril à Setembro de 1995 - Vol. 132/133 - Pág. 322 EMFOR 573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circunstância que já serviu para qualificar o crime não pode funcionar, também, como agravante.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2026-10-26T07:02:53.023Z</dcterms:created>
  <dcterms:modified xsi:type="dcterms:W3CDTF">2026-10-26T07:02:53.023Z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