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12/03/1986</w:t>
      </w:r>
    </w:p>
    <w:p/>
    <w:p>
      <w:r>
        <w:t xml:space="preserve">CIRCUNSTÂNCIAS CONSIDERADAS PARA A QUALIFICAÇÃO DO CRIME — SE PODEM AGRAVAR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é curial que um mesmo motivo tipificando a conduta delituosa em crime mais grave, venha, de novo, a ser utilizado para aumento da reprimenda corporal, já determinada pela natureza do delito. E em antigo aresto da Eg. Primeira Câmara Criminal deste Tribunal (Revista Forense, Volume 103/148), decidiu-se que: "Se as circunstâncias agravantes entraram como elementos para a classificação do crime, não há razão para considerá-las em função da agravação da pena". - Ao meu modesto sentir, este último entendimento melhor se ajusta às disposições dos artigos 59 e 61 do Código Penal em sua nova redação, de vez que as qualificadoras reconhecidas, referindo-se ao motivo e circunstâncias em que foi praticado o delito, constituem elementos que mudam seu título e a sua espécie. Daí ensinar PEDRO VERGARA ("Das Circunstâncias Agravantes", pág. 47) que, em verdade, a mesma circunstância, quando figura como qualificativa, não pode desempenhar sobre o mesmo fato as duas funções: quando acrescenta um fato mais grave ao fato primitivo, ou revela a intensidade da criminalidade, como qualificativa, não pode agravar a pena, como agravante comum". - Diante do exposto, dá-se provimento à apelação. Julgado em 13-03-1986 Jurisprudência Mineira. Vol. 93 - Pág. 296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que as circunstâncias agravantes que entraram como elementos para a classificação do crime sejam novamente consideradas em função da elevação da pena, mormente em se tratando de réu primário e de bons antecedentes.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2026-10-26T04:59:37.025Z</dcterms:created>
  <dcterms:modified xsi:type="dcterms:W3CDTF">2026-10-26T04:59:37.025Z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