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Recurso: </w:t>
      </w:r>
      <w:r>
        <w:t xml:space="preserve">REsp 31.008-1-</w:t>
      </w:r>
    </w:p>
    <w:p/>
    <w:p>
      <w:r>
        <w:t xml:space="preserve">AUMENTO PREVISTO NO ART. 9º DA LEI 8.072/90 — HIPÓTESES APLICÁVEIS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Colendo Superior Tribunal de Justiça já teve oportunidade de decidir que: "O aumento de pena previsto no art. 9º da Lei de Crimes Hediondos aplica-se apenas às hipóteses de lesão grave ou morte, ante a expressa remissão da lei ao art. 223, "caput", e parágrafo do CP, expressos quanto à exigência de lesão corporal ou morte" (REsp 31.008-1-SP, rel. Min. ASSIS TOLEDO - DJU de 19-4-1993). Ac. de 03-06-1993 VENCIDOS DESEMBARGADORES NÉLSON FONSECA e REYNALDO AYROSA Revista dos Tribunais - Janeiro de 1994 - Vol. 699 - Pág. 306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aumento de pena previsto no art. 9º da lei de Crimes Hediondos aplica-se às hipóteses de lesão grave ou morte, ante a expressa remissão da lei ao art. 223, "caput" e parágrafo do CP, expressos quanto à exigência de lesão corporal ou morte.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2026-07-28T00:16:50.457Z</dcterms:created>
  <dcterms:modified xsi:type="dcterms:W3CDTF">2026-07-28T00:16:50.457Z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