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REsp 31.008-1-</w:t>
      </w:r>
    </w:p>
    <w:p/>
    <w:p>
      <w:r>
        <w:t xml:space="preserve">AUMENTO PREVISTO NO ART. 9º DA LEI 8.072/90 — HIPÓTESES APLICÁVEIS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Colendo Superior Tribunal de Justiça já teve oportunidade de decidir que: "O aumento de pena previsto no art. 9º da Lei de Crimes Hediondos aplica-se apenas às hipóteses de lesão grave ou morte, ante a expressa remissão da lei ao art. 223, "caput", e parágrafo do CP, expressos quanto à exigência de lesão corporal ou morte" (REsp 31.008-1-SP, rel. Min. ASSIS TOLEDO - DJU de 19-4-1993). Ac. de 03-06-1993 VENCIDOS DESEMBARGADORES NÉLSON FONSECA e REYNALDO AYROSA Revista dos Tribunais - Janeiro de 1994 - Vol. 699 - Pág. 306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aumento de pena previsto no art. 9º da lei de Crimes Hediondos aplica-se às hipóteses de lesão grave ou morte, ante a expressa remissão da lei ao art. 223, "caput" e parágrafo do CP, expressos quanto à exigência de lesão corporal ou morte.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2026-10-26T02:40:32.984Z</dcterms:created>
  <dcterms:modified xsi:type="dcterms:W3CDTF">2026-10-26T02:40:32.984Z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