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ALBERTO COSTA</w:t>
      </w:r>
    </w:p>
    <w:p>
      <w:r>
        <w:rPr>
          <w:b/>
          <w:bCs/>
        </w:rPr>
        <w:t xml:space="preserve">Julgado em: </w:t>
      </w:r>
      <w:r>
        <w:t xml:space="preserve">14/05/1992</w:t>
      </w:r>
    </w:p>
    <w:p/>
    <w:p>
      <w:r>
        <w:t xml:space="preserve">PENA BASE — DESOBEDIÊNCIA AO ART.  59 DO CPC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condenatória proferida a ... "usque" 48 está, em desconformidade com o preceituado no art. 381, III, do Código de Processo Penal, merecendo ser anulada, de ofício. - A sentença proferida em Primeira Instância não individualizou a pena de acordo com o que estabelece o art. 59 do Estatuto Penal, deixando de apreciar as circunstâncias judiciais em que ocorreu o delito, em assim pronunciando-se a ..., "ab initio": "Atendendo as diretrizes constantes do art. 59 do Diploma Penal, fixo a pena-base em dezoito messes, principalmente levando-se em conta os antecedentes do acusado." - Desarte-se; deixou o MM. Juiz " a quo", de propiciar ao réu o conhecimento, imediato e necessário, do porquê do "quantum" da punição que lhe estava sendo irrogada, da exata proporção entre a pena fixada e o crime perpetrado. - Trazemos a seguinte decisão, neste norte: "Apelação criminal. Pena. Dosimetria. Desobediência do método trifásico (CP, art. 68). Sentença que estabelece a pena-base exclusivamente com supedâneo na residência das acusadas, sem analisar qualquer das circunstâncias do art. 59 do CP. Nulidade do "decisum". Decretação de ofício. "É nula a sentença que estabelece a pena-base com aumento resultante de agravante legal e, de resto, queda silente quanto à análise das circunstâncias judiciais (CP, art. 59). (Ap. crim. nº 25.796, de Indaial, Rel. Des. ALBERTO COSTA, julgado em 15/05/92). - Por todo o exposto, a Câmara concede "habeas corpus", de ofício, para anular a sentença de ..., determinado seja outra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individualização da pena deve ser clara, para propiciar ao réu, de imediato, o conhecimento do porque do "quantum" da punição que lhe esta sendo aplicada. - Desta forma, é nula a sentença silente quanto à análise das circunstâncias judiciais (art. 59, do CP), pois a individualização da pena é garantia constitucional do apelado.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2026-10-26T04:13:54.989Z</dcterms:created>
  <dcterms:modified xsi:type="dcterms:W3CDTF">2026-10-26T04:13:54.989Z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