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ESTUPRO E ATENTADO VIOL AO PUDOR</w:t>
      </w:r>
    </w:p>
    <w:p/>
    <w:p/>
    <w:p>
      <w:r>
        <w:t xml:space="preserve">VALORAÇÃO, EM DUPLICIDADE, DO FATO DA REINCIDÊNCIA PARA CONSIDERÁ-LO — BIS IN IDEM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1. No caso, há, realmente, o alegado bis in idem, porquanto a sentença condenatória, ao fixar a pena-base, teve como circunstância judicial desfavorável a personalidade do réu com base no único antecedente criminal que, em seguida, por caracterizar ele reincidência, foi considerado como a agravante do art. 61, I, do CP, para aumentar a pena. Correto, portanto, o parecer do MP Federal, ao observar que "sem a lembrança de qualquer outro fato desabonador da conduta social ou da personalidade do réu, não pode o Juiz, salvo incorrendo em bis in idem, valorar duas vezes o fato da reincidência para considerá-lo ao mesmo tempo como agravante e circunstância judicial desfavorável". Ac. de 06-08-1996 Revista dos Tribunais - vol. 737 - pág. 556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havendo outro fato desabonador da conduta social ou personalidade do réu, é defeso ao Juiz valorar em duplicidade o fato da reincidência para considerá-lo, ao mesmo tempo, como agravante e circunstância judicial desfavorável. A não observância deste princípio, acarreta bis in idem.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2026-10-26T02:51:31.310Z</dcterms:created>
  <dcterms:modified xsi:type="dcterms:W3CDTF">2026-10-26T02:51:31.310Z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