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ACIDENTE DO TRABALHO</w:t>
      </w:r>
    </w:p>
    <w:p>
      <w:r>
        <w:rPr>
          <w:i/>
          <w:iCs/>
          <w:color w:val="666666"/>
        </w:rPr>
        <w:t xml:space="preserve">RESPONSABILIDADE SOLIDÁRIA</w:t>
      </w:r>
    </w:p>
    <w:p/>
    <w:p>
      <w:r>
        <w:rPr>
          <w:b/>
          <w:bCs/>
        </w:rPr>
        <w:t xml:space="preserve">Recurso: </w:t>
      </w:r>
      <w:r>
        <w:t xml:space="preserve">RE 53.673</w:t>
      </w:r>
    </w:p>
    <w:p/>
    <w:p>
      <w:r>
        <w:t xml:space="preserve">RETARDAMENTO DA LIQUIDAÇÃO — EXISTÊNCIA DE AÇÃO JUDICIAL - SE A EXCLUI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No típico acidente do trabalho, a existência de ação judicial não exclui a multa pelo retardamento da liquidação. Referência: - Lei de Acidentes do Trabalho, arts. 52, 55 e 102. RE 53.673, de 28.06.63 RE 53.862, de 03.09.63 Aprovada em Sessão de 13-12-1963 EMFOR Nº 139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2026-09-10T22:11:19.819Z</dcterms:created>
  <dcterms:modified xsi:type="dcterms:W3CDTF">2026-09-10T22:11:19.819Z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