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>
      <w:r>
        <w:rPr>
          <w:b/>
          <w:bCs/>
        </w:rPr>
        <w:t xml:space="preserve">Recurso: </w:t>
      </w:r>
      <w:r>
        <w:t xml:space="preserve">RE 52.940</w:t>
      </w:r>
    </w:p>
    <w:p/>
    <w:p>
      <w:r>
        <w:t xml:space="preserve">FIM DIVERSO DO OCUPADO PELO RETOMANTE — DISPENSA DA PROVA DE NECESSIDADE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locador, utilizando prédio próprio para residência ou atividade comercial, pede o imóvel usado para uso próprio, diverso do que tem o por ele ocupado, não está obrigado a provar a necessidade, que se presume. Referência: Dec.-Lei nº 9.669, de 29.08.46, art. 18, II; Lei nº 1.300, de 28.12.50, art. 15, V RE 52.940, de 27.06.63 (D.J. de 22.08.63, p. 768); RE 48.537, de 14.11.61 (D.J. de 03.05.62, p. 860). ERE 48.537, de 26.10.62 (D.J. de 13.12.62, p. 840); ERE 12.701, de 30.12.48. DJ 124, de 8 de julho de 1964 - Adendo nº 2 - pág. 2.237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2026-10-26T07:02:11.809Z</dcterms:created>
  <dcterms:modified xsi:type="dcterms:W3CDTF">2026-10-26T07:02:11.809Z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