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/>
    <w:p>
      <w:r>
        <w:t xml:space="preserve">QUANDO CONSTITUEM CAUSA DE AUMENTO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Além disso, acredito que também procede a irresignação do apelante ante os dois aumentos decorrentes de seus antecedentes e reincidência. - A sentença apelada aplicou um aumento, a título de maus antecedentes, em razão da condenação referida na certidão de f. - Acontece que não há notícia, naquele documento, de que a sentença condenatória tenha transitado em julgado. - Logo, por força do princípio constitucional da presunção de inocência, até o trânsito em julgado da sentença condenatória, não poderia aquele registro servir de fundamento para aumento de pena. - Por isso, estou afastando aquele acréscimo inicial, de 6 (seis) meses de reclusão e 1 (um) dia-multa, porque não comprovados os maus antecedentes que o teriam justificado. Ac. de 02-04-1997 Revista dos Tribunais, setembro de 1997 - vol 743 - pág. 664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princípio constitucional da presunção de inocência, é inadmissível o aumento da pena a título de maus antecedentes se a sentença condenatória ainda não transitou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2026-07-27T23:20:09.558Z</dcterms:created>
  <dcterms:modified xsi:type="dcterms:W3CDTF">2026-07-27T23:20:09.558Z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