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SENTENÇA</w:t>
      </w:r>
    </w:p>
    <w:p>
      <w:r>
        <w:rPr>
          <w:i/>
          <w:iCs/>
          <w:color w:val="666666"/>
        </w:rPr>
        <w:t xml:space="preserve">REGIME PRISIONAL</w:t>
      </w:r>
    </w:p>
    <w:p/>
    <w:p/>
    <w:p>
      <w:r>
        <w:t xml:space="preserve">CIRCUNSTÂNCIA ATENUANTE QUE DEVE PREVALECER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atenuante da menoridade e relevante e, ao ser considerada, há de prevalecer sobre quaisquer outras, pois diz respeito à própria personalidade do acusado, sem formação. RESUMO DO ACÓRDÃO; - ... É de "communis opinio" que a circunstância atenuante da menoridade é relevantíssima e há que ser considerada prevalentemente sobre quaisquer outras, pois diz respeito à própria personalidade do acusado, em formação. - Como sustenta PEDRO VERGARA, "a menoridade determina uma atenuação da pena pela dupla consideração de que, de um lado, é inferior a imputação do agente, em virtude de sua imaturidade, e de outro, porque o delinqüente menor não esta em condições iguais ao delinqüente adulto, para suportar o rigor da condenação" ("Das Circunstâncias Atenuantes", pág. 64). Ac. de 30-06-1988 Jurisprudência Mineira - Outubro a Dezembro de 1988 - Vol. 104 - Pág. 308 EMFOR 500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2026-07-27T23:19:03.047Z</dcterms:created>
  <dcterms:modified xsi:type="dcterms:W3CDTF">2026-07-27T23:19:03.047Z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