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Julgado em: </w:t>
      </w:r>
      <w:r>
        <w:t xml:space="preserve">26/08/1986</w:t>
      </w:r>
    </w:p>
    <w:p/>
    <w:p>
      <w:r>
        <w:t xml:space="preserve">REGISTRO DE IMÓVEIS — DESNECESSIDADE PARA O IMÓVEL HAVIDO POR DIREITO SUCESSÓRIO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registro do formal de partilha não tem função constitutiva, senão que meramente plubicizadora; a lei do inquilinato, em seu artigo 52, X, reflete uma preocupação voltada para o promitente comprador ou o promitente cessionário; a estes é que se exige o título devidamente registrado, já que a propriedade pressupõe a inscrição do título aquisitivo, salvo nos casos em que o domínio decorre de direito sucessório, por força do artigo 1.572 do Código Civil. O formal de partilha não transfere o domínio e muito menos o seu registro no R.G.I. Julgado em 27-08-1986 Arquivo do EMFOR, TA/762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Prescindível para o exercício da retomada e o registro do imóvel havido por registro sucessório, com formal de partilha já ultimado e transitada em julgado a sentença homologatória.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2026-10-26T02:18:29.047Z</dcterms:created>
  <dcterms:modified xsi:type="dcterms:W3CDTF">2026-10-26T02:18:29.047Z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