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LOCAÇÃO COMERCIAL</w:t>
      </w:r>
    </w:p>
    <w:p>
      <w:r>
        <w:rPr>
          <w:i/>
          <w:iCs/>
          <w:color w:val="666666"/>
        </w:rPr>
        <w:t xml:space="preserve">RETOMADA PARA USO DE DESCENDENTE</w:t>
      </w:r>
    </w:p>
    <w:p/>
    <w:p>
      <w:r>
        <w:rPr>
          <w:b/>
          <w:bCs/>
        </w:rPr>
        <w:t xml:space="preserve">Julgado em: </w:t>
      </w:r>
      <w:r>
        <w:t xml:space="preserve">26/08/1986</w:t>
      </w:r>
    </w:p>
    <w:p/>
    <w:p>
      <w:r>
        <w:t xml:space="preserve">REGISTRO DE IMÓVEIS — DESNECESSIDADE PARA O IMÓVEL HAVIDO POR DIREITO SUCESSÓRIO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O registro do formal de partilha não tem função constitutiva, senão que meramente plubicizadora; a lei do inquilinato, em seu artigo 52, X, reflete uma preocupação voltada para o promitente comprador ou o promitente cessionário; a estes é que se exige o título devidamente registrado, já que a propriedade pressupõe a inscrição do título aquisitivo, salvo nos casos em que o domínio decorre de direito sucessório, por força do artigo 1.572 do Código Civil. O formal de partilha não transfere o domínio e muito menos o seu registro no R.G.I. Julgado em 27-08-1986 Arquivo do EMFOR, TA/762 EMFOR 466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Prescindível para o exercício da retomada e o registro do imóvel havido por registro sucessório, com formal de partilha já ultimado e transitada em julgado a sentença homologatória. (Ementa do EMFOR).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2026-09-11T00:24:44.072Z</dcterms:created>
  <dcterms:modified xsi:type="dcterms:W3CDTF">2026-09-11T00:24:44.072Z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