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Julgado em: </w:t>
      </w:r>
      <w:r>
        <w:t xml:space="preserve">26/08/1986</w:t>
      </w:r>
    </w:p>
    <w:p/>
    <w:p>
      <w:r>
        <w:t xml:space="preserve">REGISTRO DE IMÓVEIS — DESNECESSIDADE PARA O IMÓVEL HAVIDO POR DIREITO SUCESSÓRIO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registro do formal de partilha não tem função constitutiva, senão que meramente plubicizadora; a lei do inquilinato, em seu artigo 52, X, reflete uma preocupação voltada para o promitente comprador ou o promitente cessionário; a estes é que se exige o título devidamente registrado, já que a propriedade pressupõe a inscrição do título aquisitivo, salvo nos casos em que o domínio decorre de direito sucessório, por força do artigo 1.572 do Código Civil. O formal de partilha não transfere o domínio e muito menos o seu registro no R.G.I. Julgado em 27-08-1986 Arquivo do EMFOR, TA/762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Prescindível para o exercício da retomada e o registro do imóvel havido por registro sucessório, com formal de partilha já ultimado e transitada em julgado a sentença homologatória.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2026-07-27T23:30:04.737Z</dcterms:created>
  <dcterms:modified xsi:type="dcterms:W3CDTF">2026-07-27T23:30:04.737Z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