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>
      <w:r>
        <w:rPr>
          <w:b/>
          <w:bCs/>
        </w:rPr>
        <w:t xml:space="preserve">Recurso: </w:t>
      </w:r>
      <w:r>
        <w:t xml:space="preserve">RE 105.788-2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27/02/1986</w:t>
      </w:r>
    </w:p>
    <w:p/>
    <w:p>
      <w:r>
        <w:t xml:space="preserve">VÍTIMA ESPOSA DO RÉU — LEGITIMIDADE DE SUA INVOCAÇÃO -  EXTENSÃO À AMÁSIA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casamento formalizado em cartório e com as bênçãos da Igreja, segundo a fé dos nubentes, sempre há de ser estimulado e enaltecido, por seu elevado valor religioso e social. - Mas a realidade demonstra que, mesmo sem o formalismo civil e o sacramental religioso, pode existir, como de fato existe, a união estável a duradoura de duas pessoas de sexos opostos. Compartilham, então, do mesmo teto com afeição, respeito; compromisso, responsabilidade, partilha e fidelidade como se fossem casados. Quebrados os antigos tabus, na atualidade, "para efeito da proteção do Estado, é reconhecida a união estável entre homem e a mulher como entidade familiar". E que, faz tal asserção não é um anarquista qualquer, mas a Lei Suprema da Nação Brasileira (art. 226, parágrafo 3º, da CF recém-promulgada). - O certo é que a união estável denota uma afeição marcante tanto quanto o casamento duradouro e inabalável. - A jurisprudência sempre foi pacífica no sentido de que, sendo a vítima esposa legítima do réu nos casos de crime culposo, podia ser invocado o perdão judicial (v.g., RT 555/360). - Essa construção jurisprudencial, agora mais do que nunca, também se estende à amásia, desde que se cuide de união estabilizada há certo tempo. - No caso em testilha, já fazia quatro anos que réu e ofendida viviam juntos, ininterrupta e harmoniosamente. Mantinham as melhores aparências, e apresentavam-se, como marido e mulher. Bem por isso, todos, neles, viam uma unidade familiar. - Praticado o fato imprudente que aceitou a vida da amada companheira, o acusado sofreu uma dor profunda, como admitido pela sentença. Tal circunstância, embora subjetiva, emerge, com nitidez, do conjunto probatório. Atingida pelo disparo, ele, nervoso e em prantos, tratou de socorrê-la o mais rapidamente possível. Baldados esforços, sentiu na própria carne a perda irreparável. É importante observar que são justamente a mãe e um irmão da vítima que descrevem, a seu modo e com suas palavras, a pungente dor moral suportada pelo réu. E, como ninguém ignora, a dor espiritual, no mais das vezes, supera em muito a dor física, principalmente, pelo remorso de ter sido a causa direta do desaparecimento de um ente extremamente querido. Ac. de 22-12-1988 VENCIDO O JUIZ DAVI HADDAD Revista dos Tribunais - Fevereiro de 1989 - Vol. 640 - Pág. 321 EMFOR 509 EMENTA: - O perdão judicial alcança tão-só a aplicação da pena principal e acessória, bem como da medida de segurança, subsistindo os demais efeitos da sentença condenatória. RESUMO DO ACÓRDÃO: - É de se dar provimento ao recurso, à vista de tranqüila jurisprudência deste Pretório no sentido de que o perdão judicial não alcança os efeitos secundários da sentença. - Confira-se nos RREECr. 106.702 - RTJ 117/842, (1ª Turma); 104.099 - RTJ 112/943 (2ª Turma), bem como o RECr. 109.487-7, por mim relatado e assim ementado: "Perdão Judicial (efeitos). O perdão judicial alcança tão-só a aplicação da pena principal e acessória, bem como da medida de segurança, subsistindo os demais efeitos da sentença condenatória. RE conhecido e provido". - Nesta conformidade, conheço do recurso e lhe dou provimento. Ac. de 18-03-1988 Arquivo do STF - DJ 29-4-1988 - Ementário nº 1.499-4 Arquivo do EMFOR - STF/374 EMFOR 503 EMENTA: - O perdão judicial abrange em seus efeitos apenas a pena principal, subsistindo os demais efeitos da sentença, que tem caráter condenatório, com lançamento do nome do réu no rol dos culpados e responsabilidade pelas custas. RESUMO DO ACÓRDÃO: - Assinala-se, ainda, que a Suprema Corte, mesmo em face do disposto no art. 120 do CP, por muitas vezes, já afirmou ser "tranqüila a jurisprudência no sentido de que o perdão judicial concedido não elimina os efeitos secundários da condenação salvo os de prevenir a reincidência" (RE 105.788-2 - SP, rel. Min. CORDEIRO GUERRA, v.u., j 18-6-85). Nesse sentido muitos outros julgados do Supremo podem ser trazidos à colação: RHC 57.798, RE 92.907-0, RE 97.545-4, RE 104.099-8, RE 104.679-1, RE 107.354, RE 104.587-1, RE 104.977-4, RE 104.788-2, RE 104.978, RE 106.774-8, RE 109.218-1, 109.487-7, RE 115.995-2, RE 104.663, RE 104.495, RE 106.702, RE 113.129-2, RE 115.648-1, RE 115.995-2, RE 104.758, RE 104.978, RE 104.989, RE 104.969, RE 106.702, RE 103.943. - A jurisprudência predominante de outros tribunais brasileiros, inclusive o Alçada Criminal de São Paulo, seja antes da Reforma Penal de 1984, seja posteriormente, sempre seguiram o rumo traçado pelo STF: RT 170/70, 178/97, 224/97, 235/359, 260/473,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sempre foi pacífica no sentido de que, nos casos de crime, culposo, sendo a vítima esposa legítima do réu, pode ser invocado o perdão judicial. - Essa construção jurisprudencial também se estende à amásia desde que se cuide de união estabilizada há certo tempo, tanto mais após a vigência da nova CF, cujo art. 226, parágrafo 3º, reconhece para efeito da proteção do estado, "a união estável entre o homem e a mulher como entidade familiar".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2026-10-26T03:46:53.978Z</dcterms:created>
  <dcterms:modified xsi:type="dcterms:W3CDTF">2026-10-26T03:46:53.978Z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