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Julgado em: </w:t>
      </w:r>
      <w:r>
        <w:t xml:space="preserve">26/02/1997</w:t>
      </w:r>
    </w:p>
    <w:p/>
    <w:p>
      <w:r>
        <w:t xml:space="preserve">DISPARO DE ARMA DE FOGO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Rejeito a preliminar com que o apelante busca a desclassificação do crime "perigo para a vida ou saúde de outrem" para a contravenção penal "disparo de arma de fogo", porquanto o elemento subjetivo direto ou eventual no primeiro reside na intenção de criar a situação de perigo, ou assumindo o risco de produzi-lo, ao passo que, para o segundo, infração de perigo comum, não o exige se crie risco concreto para determinada pessoa, mas que o disparo ocorra em local habitado. - Ora, se o disparo foi efetuado pelo apelante, tendo em vista a perseguição que sofria de parte dos cobradores do calote que praticou, deixando de pagar as despesas efetuadas no trailler da genitora das vítimas, ainda que para intimidá-los, temendo uma segunda agressão, evidente que não se trata de simples infração contravencional, posto que, ao efetuar o disparo, não colocou em risco pessoa indeterminada, mas aqueles que buscavam receber a despesa efetuada na birosca, no montante de R$ 20,00 (vinte reais). Destarte, rejeito a preliminar. Julgado em 27-02-1997 Revista dos Tribunais, Julho de 1997, vol. 741, pág. 656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desclassificar o crime de perigo para a vida ou saúde de outrem, imputado ao agente, para a infração contravencional, disparo de arma de fogo, se, com o disparo, não colocou, em risco pessoa indeterminada, porque visava cobradores que o agrediram, fisicamente, momentos 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2026-10-26T03:53:57.242Z</dcterms:created>
  <dcterms:modified xsi:type="dcterms:W3CDTF">2026-10-26T03:53:57.242Z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