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45.915</w:t>
      </w:r>
    </w:p>
    <w:p/>
    <w:p>
      <w:r>
        <w:t xml:space="preserve">RETARDAMENTO DA LIQUIDAÇÃO — APLICABILIDADE AO SEGURADOR AINDA QUE AUTARQUIA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caso de acidente do trabalho, a multa pelo retardamento da liquidação é exigível do segurador sub-rogado, ainda que autarquia. Referência: - Lei de Acidentes do Trabalho, artigos 100 e 102 RE 45.915, de 04.08.61; RE 53.862, de 03.09.63; RE 54.556, de 01.10.63; RE 53.673, de 28.06.63; ERE 43.473, de 22.09.61. Aprovada em Sessão de 13-12-1963 - pág. 113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2026-06-17T15:18:29.218Z</dcterms:created>
  <dcterms:modified xsi:type="dcterms:W3CDTF">2026-06-17T15:18:29.218Z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