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45.915</w:t>
      </w:r>
    </w:p>
    <w:p/>
    <w:p>
      <w:r>
        <w:t xml:space="preserve">RETARDAMENTO DA LIQUIDAÇÃO — APLICABILIDADE AO SEGURADOR AINDA QUE AUTARQUIA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acidente do trabalho, a multa pelo retardamento da liquidação é exigível do segurador sub-rogado, ainda que autarquia. Referência: - Lei de Acidentes do Trabalho, artigos 100 e 102 RE 45.915, de 04.08.61; RE 53.862, de 03.09.63; RE 54.556, de 01.10.63; RE 53.673, de 28.06.63; ERE 43.473, de 22.09.61. Aprovada em Sessão de 13-12-1963 - pág. 113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2026-09-10T23:18:04.965Z</dcterms:created>
  <dcterms:modified xsi:type="dcterms:W3CDTF">2026-09-10T23:18:04.965Z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