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45.915</w:t>
      </w:r>
    </w:p>
    <w:p/>
    <w:p>
      <w:r>
        <w:t xml:space="preserve">RETARDAMENTO DA LIQUIDAÇÃO — APLICABILIDADE AO SEGURADOR AINDA QUE AUTARQUIA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acidente do trabalho, a multa pelo retardamento da liquidação é exigível do segurador sub-rogado, ainda que autarquia. Referência: - Lei de Acidentes do Trabalho, artigos 100 e 102 RE 45.915, de 04.08.61; RE 53.862, de 03.09.63; RE 54.556, de 01.10.63; RE 53.673, de 28.06.63; ERE 43.473, de 22.09.61. Aprovada em Sessão de 13-12-1963 - pág. 113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2026-10-26T04:33:25.256Z</dcterms:created>
  <dcterms:modified xsi:type="dcterms:W3CDTF">2026-10-26T04:33:25.256Z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