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PRESCRIÇÃO RETROATIVA</w:t>
      </w:r>
    </w:p>
    <w:p>
      <w:r>
        <w:rPr>
          <w:i/>
          <w:iCs/>
          <w:color w:val="666666"/>
        </w:rPr>
        <w:t xml:space="preserve">CRIME DE IMPRENSA</w:t>
      </w:r>
    </w:p>
    <w:p/>
    <w:p>
      <w:r>
        <w:rPr>
          <w:b/>
          <w:bCs/>
        </w:rPr>
        <w:t xml:space="preserve">Recurso: </w:t>
      </w:r>
      <w:r>
        <w:t xml:space="preserve">REsp 2.811</w:t>
      </w:r>
    </w:p>
    <w:p/>
    <w:p>
      <w:r>
        <w:t xml:space="preserve">INTERRUPÇÃO — APLICAÇÃO DO CÓDIGO  PENAL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decisão amparou-se em argumento que não é avalizado pela jurisprudência do Egrégio Supremo Tribunal Federal, conforme demonstrou o Recorrente, e muito menos por esta corte. Com efeito em várias oportunidades, do Colegiado já se manifestou no sentido de que o crime de imprensa, para fins de contagem do prazo prescricional, sujeita-se às causas interruptivas previstas no Código Penal. Nesse sentido votei ao relator o REsp nº 2.811 - RS. Ac. de 14-05-1991 Revista do Superior Tribunal de Justiça - Junho, 1991 - Nº 22 - Pág. 237.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crime de Imprensa (Lei nº 5.250 de 1967) a prescrição prevista no art. 41 interrompe-se pelas causas previstas no Código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2026-07-28T00:28:13.273Z</dcterms:created>
  <dcterms:modified xsi:type="dcterms:W3CDTF">2026-07-28T00:28:13.273Z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