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/>
    <w:p>
      <w:r>
        <w:t xml:space="preserve">APROPRIAÇÃO DE RENDAS MENSAIS — PRAZO  - FLUÊNCIA - A PARTIR DE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a alegação de prescrição, visto como, no caso, o benefício reputado indevido foi percebido mensalmente pelo acusado até 31-5-1980 ... Tomando-se essa data como termo inicial da prescrição, segundo o entendimento do voto que proferi na Apelação Criminal nº 7.625 - RJ, de cópia anexa, que fica integrando este voto, daquela data até o recebimento da denúncia, em 2-5-1984, não decorreu o lapso temporal de quatro anos, previsto no art. 109, V, do CP. Ac. de 18-08-1987 Revista do Tribunal Federal de Recursos - Novembro de 1987 - Vol. 151 - Pág. 219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estelionato de rendas mensais, que dura no tempo, há permanência na consumação (delito eventualmente permanente), devendo o termo inicial da prescrição contar-se da cessação da permanência (art. 111, III, do CP).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2026-07-28T00:30:14.794Z</dcterms:created>
  <dcterms:modified xsi:type="dcterms:W3CDTF">2026-07-28T00:30:14.794Z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