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PRESCRIÇÃO RETROATIVA</w:t>
      </w:r>
    </w:p>
    <w:p>
      <w:r>
        <w:rPr>
          <w:i/>
          <w:iCs/>
          <w:color w:val="666666"/>
        </w:rPr>
        <w:t xml:space="preserve">CRIME DE IMPRENSA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JOSÉ DANTAS</w:t>
      </w:r>
    </w:p>
    <w:p/>
    <w:p>
      <w:r>
        <w:t xml:space="preserve">RECEBIMENTO DE DENÚNCIA SUBSTITUTIVA DE PORTARIA — QUANDO NÃO SE VERIFICA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fato é de maio de 1983, tendo fluído prazo suficiente para operar a prescrição desde que a denúncia substitutiva da portaria não tem efeito interruptivo da prescrição. "EMENTA: Criminal. Contravenção. Código de caça. Denúncia. Prescrição. Admissível a denúncia substitutiva da portaria para instauração do processo sumário, tratado na Lei 5.197, de 1967 (Súmula nº 203 - TFR, é de negar-se-lhe, porém, efeito interruptivo da prescrição, consoante a reiterada orientação do Supremo Tribunal Federal em matéria semelhante". RCr nº 1.050 - PR - Rel. Min. JOSÉ DANTAS - DJ de 14-8-1987 - pág. 13.821. - Reconhecida extinta a punibilidade deve ser declarada imediatamente, segundo dispõe o art. 61 do Código de Processo Penal. - Por outro lado, a extinção da punibilidade pela prescrição da pretensão punitiva do Estado, é matéria preliminar que antecede e impede o exame do mérito (Súmula nº 241 (*) do TFR". - De inteiro acordo com o entendimento ainda esposado, decreto extinta a punibilidade pela prescrição da pena em abstrato nos termos do art. 109, inciso V c/c o art. 114 do Código Penal e julgo prejudicada a apelação interposta. Ac. de 13-11-1987 Revista do Tribunal Federal de Recursos - Janeiro de 1988 - Vol. 153 - Pág. 271 (*) "A extinção da punibilidade pela prescrição da pretensão punitiva prejudica ao exame do mérito da apelação criminal". ("EMFOR", Nº 469, st. PRETENSÃO PUNITIVA).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denúncia substitutiva da portaria não tem efeito interruptivo da prescrição.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2026-10-26T02:41:26.537Z</dcterms:created>
  <dcterms:modified xsi:type="dcterms:W3CDTF">2026-10-26T02:41:26.537Z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