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RE 11.813-</w:t>
      </w:r>
    </w:p>
    <w:p/>
    <w:p>
      <w:r>
        <w:t xml:space="preserve">PRONÚNCIA — CAUSA INTERRUPTIVA, AINDA QUE DESCLASSIFICADO O CRIME PELO JÚRI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PRONUNCIA É CAUSA INTERRUPTIVA DA PRESCRIÇÃO, AINDA QUE O TRIBUNAL DO JÚRI VENHA A DESCLASSIFICAR O CRIME. Referência: CP. art. 117, II RE 11.813-SP (5ªT 16/09/91 - DJ 07/10/91) RE 48.916-SP (5ªT 22/03/95 - DJ 24/04/95) RE 63.680-SP (5ªT 21/06/95 - DJ 14/08/95) RE 76.593-SP (5ªT 13/05/96 - DJ 17/06/96) RE 666-ES (6ªT 29/06/90 - DJ 13/08/90) RE 2.871-RS (6ªT 13/09/93 - DJ 11/10/93) Terceira Seção na sessão ordinária de 25 de junho de 1997. DJ nº 148 de 5 agosto de 1997, pág. 35.164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2026-10-26T06:01:58.554Z</dcterms:created>
  <dcterms:modified xsi:type="dcterms:W3CDTF">2026-10-26T06:01:58.554Z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