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PRESCRIÇÃO RETROATIVA</w:t>
      </w:r>
    </w:p>
    <w:p>
      <w:r>
        <w:rPr>
          <w:i/>
          <w:iCs/>
          <w:color w:val="666666"/>
        </w:rPr>
        <w:t xml:space="preserve">CRIME DE IMPRENSA</w:t>
      </w:r>
    </w:p>
    <w:p/>
    <w:p/>
    <w:p>
      <w:r>
        <w:t xml:space="preserve">APLICAÇÃO RETROATIVA ENTRE A DATA  DO RECEBIMENTO DA DENÚNCIA E DA  DECISÃO CONDENATÓRIA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Importa, contudo, se decrete a extinção da punibilidade do Apelado pela pena in concreto, dada a ocorrência da prescrição retroativa. - Dispõe o art. 115 do CP, que serão reduzidos da metade os prazos de prescrição quando o criminoso era, ao tempo do crime, menor de vinte e um anos. - A pena de 3 anos imposta ao Apelado, marca o lapso prescricional em 8 anos, reduzida, no caso, para 4 anos. - Da data do julgamento nesta superior instância à data do recebimento da denúncia (19-3-1987), já transcorreram mais de cinco anos, pelo que prescrita se encontra a pretensão, punitiva do Estado, ex vi do art. 110, parágrafos 1º e 2º, c.c. o art. 109, nº V, ambos do CP. Ac. de 26-03-1992 Arquivo do EMFOR - TJ/2.260 EMFOR 526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Ocorre prescrição retroativa se, entre a data do recebimento da denúncia e a da decisão condenatória do Réu no Tribunal, decorreu o lapso temporal firmado em lei.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2026-07-28T00:03:58.721Z</dcterms:created>
  <dcterms:modified xsi:type="dcterms:W3CDTF">2026-07-28T00:03:58.721Z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