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PRESCRIÇÃO RETROATIVA</w:t>
      </w:r>
    </w:p>
    <w:p>
      <w:r>
        <w:rPr>
          <w:i/>
          <w:iCs/>
          <w:color w:val="666666"/>
        </w:rPr>
        <w:t xml:space="preserve">CRIME DE IMPRENSA</w:t>
      </w:r>
    </w:p>
    <w:p/>
    <w:p>
      <w:r>
        <w:rPr>
          <w:b/>
          <w:bCs/>
        </w:rPr>
        <w:t xml:space="preserve">Recurso: </w:t>
      </w:r>
      <w:r>
        <w:t xml:space="preserve">RE 98.949</w:t>
      </w:r>
    </w:p>
    <w:p/>
    <w:p>
      <w:r>
        <w:t xml:space="preserve">REFERÊNCIA À RENÚNCIA DO ESTADO À EXECUÇÃO DA PENA PRINCIPAL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prescrição pela pena em concreto é somente da pretensão executória da pena privativa de liberdade. Referência: CP (Dec.-Lei nº 2.848/40) - art. 110, §§ 1º e 2º. RECr 91.379, 1ª T., 17.11.81, Rel. CP, RTJ 105/153 RE 98.949, 1ª T., 16.12.82, Rel. Sm, Em. 1.284/594, DJ de 25.02.63 RECr 100.227, 2ª T., 24.06.83, Rel. MA, Em. 1.393/5, DJ de 12.08.83 RECr 100.232, 2ª T., 09.08.83, Rel. DM, Em. 1.306/423, DJ de 02.09.83 RECr 102.117, 1ª T., 27.04.84, Rel. OC, Em. 1.137/1182, DJ de 25.05.84 Aprovada em Sessão de 17-10-1984. EMFOR 197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2026-07-28T00:31:54.404Z</dcterms:created>
  <dcterms:modified xsi:type="dcterms:W3CDTF">2026-07-28T00:31:54.404Z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