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Recurso: </w:t>
      </w:r>
      <w:r>
        <w:t xml:space="preserve">REsp 54.398-</w:t>
      </w:r>
    </w:p>
    <w:p/>
    <w:p>
      <w:r>
        <w:t xml:space="preserve">REINCIDÊNCIA — SE INFLUI NO PRAZO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reincidência não influi no prazo da prescrição da pretensão punitiva. Referência: CP, art. 110 EREsp 54.398-PR (3ª S 11.02.98 - DJ 18.05.98) REsp 31.285-PR (5ª T 12.05.93 - DJ 07.06.93) Resp 34.031-PR (5ª T 02.06.93 - DJ 28.06.93) REsp 54.398-PR (5ª T 17.09.96 - DJ 18.11.96) HC 7.942-PR (6ª T 23.11.98 - DJ 14.12.98) (DJU, Seção I, 19.05.1999, p. 121) EMFOR 611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2026-10-26T02:39:00.872Z</dcterms:created>
  <dcterms:modified xsi:type="dcterms:W3CDTF">2026-10-26T02:39:00.872Z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