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Nilton Macedo Machado</w:t>
      </w:r>
    </w:p>
    <w:p/>
    <w:p>
      <w:r>
        <w:t xml:space="preserve">LESÃO CORPORAL LEVE PRATICADA POR MENOR — APLICAÇÃO RETROATIVA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assiste ao douto parecerista, eis que dos autos exsurge clara a ocorrência da causa extintiva da punibilidade dos agentes. - Compulsando-se o processado, vê-se que a denúncia foi recebida em 16.3.92 (fls. ...) e que a sentença foi publicada em 28.5.97 (fls. ....). - Considerando que os réus eram menores de 21 anos à data do fato narrado e que as reprimendas impostas na decisão a quo foram de 3 (três) meses e 15 (quinze) dias de reclusão, para o apelante, e de 3 (três) meses de detenção, ao co-réu Márcio F., substituídas pela restritiva de direitos de prestação de serviços à comunidade, pelos mesmos períodos, tendo a sentença transitado em julgado para o Parquet a quo, verifica-se que transcorreu lapso temporal superior ao descrito no artigo 109, inciso VI, c/c artigo 115, ambos do Codex Penal, já que se passou mais de 2 (dois) anos entre os dois citados marcos, para o reconhecimento da prescrição. - Neste norte, já decidiu este Egrégio, em caso análogo, veja-se: "AÇÃO PENAL - RÉU MENOR DE 21 ANOS AO TEMPO DO CRIME - PRAZO PRESCRICIONAL REDUZIDO À METADE - DECURSO ENTRE O RECEBIMENTO DA DENÚNCIA E A PUBLICAÇÃO DA SENTENÇA CONDENATÓRIA FACE À PENA CONCRETIZADA - EXTINÇÃO DA PUNIBILIDADE DECLARADA DE OFÍCIO (ART. 61, DO CPP).” (Ap. crim. n. 34.252, de Santa Cecília, Rel. Des. Nilton Macedo Machado, j. em 27.2.96). - Diante do exposto, conhece-se do recurso dando-lhe provimento para decretar extinta a punibilidade de M. C. B., pela ocorrência da prescrição da pretensão punitiva do Estado, na modalidade retroativa, ex vi dos artigos 107, inciso IV, 109, inciso VI, e parágrafo único, 110, § 1º, e 115, todos do Código Penal, estendendo-se a decisão ao co-réu não apelante, Márcio F., com fulcro no artigo 580, do Codex de Processo Penal.. Ac. de 14-10-1997 Arquivo do EMFOR, TJ/N 2.490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Considerando que os réus eram menores de 21 anos à data do fato narrado e que as reprimendas impostas na decisão a quo foram de 3 (três) meses e 15 (quinze) dias de reclusão, para o apelante, e de 3 (três) meses de detenção, ao co-réu, substituídas pela restritiva de direitos de prestação de serviços à comunidade, pelos mesmos períodos, tendo a sentença transitado em julgado para o Parquet a quo, verifica-se que transcorreu lapso temporal superior ao descrito no artigo 109, inciso VI, c/c artigo 115, ambos do Codex Penal, já que se passou mais de 2 (dois) anos entre os dois citados marcos, para o reconhecimento da prescrição.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2026-10-26T04:15:47.742Z</dcterms:created>
  <dcterms:modified xsi:type="dcterms:W3CDTF">2026-10-26T04:15:47.743Z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