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Apelação Cível 132.804.</w:t>
      </w:r>
    </w:p>
    <w:p/>
    <w:p>
      <w:r>
        <w:t xml:space="preserve">TRABALHADOR ATINGIDO POR ARMA DE FOGO — CARACTERIZAÇÃO DO ACIDENTE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teleologia da legislação infortunística protege o obreiro contra todas as ofensas físicas que possam atingi-lo no exercício do seu mister, não se exigindo que resulte a mesma, de forma direta, da atividade laborativa. - Na hipótese sub censura resulta comprovado, através da comunicação do acidente, trazida à colação pelo próprio recorrente (...) que no dia do evento, em seu horário e local de trabalho, foi o apelado atingido por projétil de arma de fogo, disparada, acidentalmente, por um segurança do empregador. - O fato assim descrito, ao reverso do alegado pelo apelante, caracteriza o infortúnio, que não se limita, apenas, àquelas causas diretamente ligadas à atividade laborativa. - Assim, "in exemplis", decidiu o Egrégio 2º Tribunal de Alçada Cível de São Paulo, na Apelação Cível nº 132.804. "O espírito que norteia a infortunística é o da proteção ao obreiro quando no exercício do seu mister, assegurando-o contra ofensas que possam atingi-lo em serviço, pouco importando para a caracterização do evento como acidente do trabalho, que houvesse ocorrido por questão estranha, não relacionada com ele" ("in" JTACSP, V. 76, pág. 346). Ac. de 13-09-1990 Arquivo do EMFOR - TA/2.135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ofensa física sofrida pelo obreiro, em horário de trabalho, no local onde desempenhava seu labor, caracteriza o acidente, nos termos do art. 2º da Lei 6.367, de 19-10-1976, irrelevante que o evento tenha se verificado por causa estranha a relação empregatícia.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2026-06-17T14:03:22.535Z</dcterms:created>
  <dcterms:modified xsi:type="dcterms:W3CDTF">2026-06-17T14:03:22.535Z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