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LOCAÇÃO COMERCIAL</w:t>
      </w:r>
    </w:p>
    <w:p>
      <w:r>
        <w:rPr>
          <w:i/>
          <w:iCs/>
          <w:color w:val="666666"/>
        </w:rPr>
        <w:t xml:space="preserve">RETOMADA PARA USO DE DESCENDENTE</w:t>
      </w:r>
    </w:p>
    <w:p/>
    <w:p/>
    <w:p>
      <w:r>
        <w:t xml:space="preserve">ASSISTÊNCIA AO LOCATÁRIO — DIREITO RECONHECIDO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art. 35 da Lei 6.649/79, na parte final de seu parágrafo único, dispõe que os sublocatários poderão intervir no processo, como assistentes do réu e o art. 50 do CPC, por sua vez, deixa bem claro que terceiro que tiver interesse que a decisão de uma causa seja favorável a uma das partes poderá ingressar no processo para assisti-lo. - No caso dos autos, está evidenciado o interesse da agravada no feito. Se ocupa o imóvel legal ou ilegalmente só após a produção de provas necessárias é que se saberá. - Negado Provimento ao Agravo. Ac. de 05-10-1988 Arquivo do EMFOR - TA/1.048 EMFOR 496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Legítimo é o interesse do subinquilino na ação de despejo, como assistente do locatário. (Ementa do EMFOR).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2026-09-11T00:24:44.712Z</dcterms:created>
  <dcterms:modified xsi:type="dcterms:W3CDTF">2026-09-11T00:24:44.712Z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