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/>
    <w:p>
      <w:r>
        <w:t xml:space="preserve">DEMORA CONSEQÜENTE NO PROCESSAMENTO — CONCESSÃO DE HABEAS CORPUS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que pese a gravidade do crime, a lei não autoriza manter-se o acusado preso, preventivamente, além dos prazos nela consignados. Ora, esses já se fazem ultrapassados em demasia, conforme o reconheceu, aliás, o acórdão recorrido, de março passado. Até a presente data, nenhum andamento novo se registrou na instrução do processo estando o sumário da acusação designado somente para 19 de junho vindouro. - Releva notar que, se o atraso se deveu, em parte, a estarem foragidos os co-réus, este fato, por si só, não justifica manter-se preso o outro co-réu, por tempo, excessivo e injustificadamente, longo sendo certo que a prisão preventiva é sempre medida de caráter excepcional. - Concederam a ordem. Ac. de 01-06-1984 Revista Trimestral de Jurisprudência - Setembro de 1987 - Vol. 121 - Pág. 991 EMFOR 482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que pese a gravidade do crime, a lei não autoriza manter-se preso o acusado, preventivamente, além dos prazos nela previstos.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2026-10-26T03:46:14.071Z</dcterms:created>
  <dcterms:modified xsi:type="dcterms:W3CDTF">2026-10-26T03:46:14.071Z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