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PROVA EMPRESTADA</w:t>
      </w:r>
    </w:p>
    <w:p>
      <w:r>
        <w:rPr>
          <w:i/>
          <w:iCs/>
          <w:color w:val="666666"/>
        </w:rPr>
        <w:t xml:space="preserve">PRINCÍPIO DO CONTRADITÓRIO</w:t>
      </w:r>
    </w:p>
    <w:p/>
    <w:p/>
    <w:p>
      <w:r>
        <w:t xml:space="preserve">CONVERSA EM LOCAL PÚBLICO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tocante ao primeiro fundamento (prova supostamente ilícita), acha-se assim fundamentado o acórdão: "Com efeito, no que diz respeito à primeira preliminar, mostrou o Magistrado, de maneira irretorquível, que a utilização das gravações não implica em violação do art. 5º, inc. XII, da CF e que no caso não houve escuta telefônica autorizada ou ainda violação de correspondência, mas sim gravação de conversa entre pessoas em local público, para verificação da notícia do crime. - Com efeito, a situação assemelha-se às câmeras de vídeo instaladas em agências bancárias, onde são filmados os movimentos das pessoas que indicaram a ocorrência de roubo, e não havendo som. No caso em tela existe som e não existe imagem, porque é pelo teor da conversa que se saberá se existe ou não crime e no caso a presença do `narrador' permitiu até mesmo ao Dr. Defensor identificar a fala das pessoas envolvidas. - Assim, não houve qualquer ilegalidade ou prova ilícita porque não houve gravação das conversas por meio criminoso, daí a inexistência de violação do art. 233, par. ún., do CPP. Ac. de 10-12-1996 Revista dos Tribunais, setembro de 1997 - vol. 743 - pág. 550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admissível a utilização, como prova, de gravação de diálogo transcorrido em local público, quando não está em causa a proibição do art. 5º, XII, da CF, principalmente se há nos autos elementos suficientes para embasar a condenação.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2026-10-26T04:19:44.029Z</dcterms:created>
  <dcterms:modified xsi:type="dcterms:W3CDTF">2026-10-26T04:19:44.029Z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