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MT</w:t>
      </w:r>
    </w:p>
    <w:p>
      <w:r>
        <w:rPr>
          <w:i/>
          <w:iCs/>
          <w:color w:val="666666"/>
        </w:rPr>
        <w:t xml:space="preserve">QUEBRA DE SIGILO</w:t>
      </w:r>
    </w:p>
    <w:p/>
    <w:p/>
    <w:p>
      <w:r>
        <w:t xml:space="preserve">QUANDO NÃO DEVE SER REJEITADO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Foi o mesmo apontado com firmeza pelas vítimas, segundo o auto de reconhecimento fotográfico. Em juízo ratificou-se o ato de identificação. - Na hipótese em causa deixam de prevalecer as reservas que, de ordinário se antepõe a tal dado de convicção. Na bem lembrada advertência de FREDERICO MARQUES, "não nos parece muito acertado rejeitar-se de plano, como elemento de prova o reconhecimento feito diante de fotografias. Tudo depende, em cada caso, das circunstâncias que rodearam o reconhecimento e dos dados que foram fornecidos pela vítima ou testemunha para fundamentar suas afirmativas" ("Elementos de Direito Processual Penal", ed. 1961, v. II/334). - Cumpre relevar que, "in casu", o reconhecimento fora efetuado nessas condições por várias pessoas que com o indigitado estelionatário privaram de razoável tempo de convivência. Portanto, não o encararam de relance, fortuitamente, tampouco em investida de inopino e carregada de tensão emocional. Bem por isso, aqui se diluem as habituais ressalvas pertinentes à alterabilidade dos traços fisionômicos nas imagens de fotografia. - Em suma a r. sentença bem apreciou a prova, decidindo com total acerto, pelo que merece ser integralmente confirmada. Ac. de 04-04-1988 Revista dos Tribunais - Abr/88 - vol. 630 - pág. 323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 se rejeitar de plano, como elemento de prova, o reconhecimento feito diante de fotografias, máxime se o réu assim for identificado conjuntamente por várias pessoas que com ele experimentarem razoável período de convivência.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2026-10-26T03:42:44.784Z</dcterms:created>
  <dcterms:modified xsi:type="dcterms:W3CDTF">2026-10-26T03:42:44.784Z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