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FALTA DE CITAÇÃO</w:t>
      </w:r>
    </w:p>
    <w:p/>
    <w:p/>
    <w:p>
      <w:r>
        <w:t xml:space="preserve">RESSARCIMENTO DO DANO — FALTA - HIPÓTESE DE HIPOSSUFICIÊNCIA ECONÔMICA DO CONDENADO - REABILITAÇÃO MANTIDA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 a reabilitação, porquanto o interessado, além de haver residido no País, desde a extinção de sua punibilidade em 27-12-1982 ..., manteve bom comportamento público ... e privado ..., e, conforme se verifica dos salários que vence ..., está impossibilitado, ao menos no momento, de ressarcir o dano causado pelo crime, pois recebe cerca de um salário mínimo e meio por mês. - Conclui-se, então, pela ocorrência de todos os requisitos exigidos pelo art. 94, do CP, cabendo salientar, no tocante à inviabilidade de reparação do dano "ex-delicto", que, notória a hipossuficiência do recorrido, faz lhe jus à reabilitação, pois, como escreve ALOYSIO DE CARVALHO FILHO, em face da delicadeza que, às vezes, envolve a verificação do apontado requisito, convém dar a reabilitação, por se tratar de direito do condenado que preencheu os demais requisitos, sem embargo de se cuidar, também, de direito da vítima do crime recompor-se dos prejuízos deste decorrentes (Comentários ao Código Penal, Rio, Forense, 1958, 4ª ed., IV/463, nº 180). Ac. de 01-07-1993 Revista dos Tribunais - Abril de 1994 - Vol. 702 - Pág. 351 EMFOR 554 EMENTA: - Não cumprida a pena, por ter sido julgada extinta a punibilidade do sentenciado, pela prescrição retroativa da ação penal, é inadmissível a reabilitação criminal, que tem, como pressuposto, o cumprimento da pena. RESUMO DO ACÓRDÃO: - Na verdade, à luz do art. 93 do CP e art. 743 do CPP, somente o condenado está legitimado a requerer a reabilitação, condição que desaparece com o reconhecimento da prescrição da ação penal, ou da pretensão punitiva. - Faltando, assim, o pressuposto do cumprimento da pena, é inadmissível a reabilitação criminal, dada a falta do interesse de agir, cf. se tem julgado (RT 383/91, 397/113, 433/441, 535/308, 617/324, 701/335). - O recorrido terá o direito de obter da Polícia e dos Cartórios Criminais certidões com a anotação de nada constar, com relação aos delitos cobertos pela prescrição, por força de várias disposições legais (RT 617/325). Ac. de 08-04-1997 Revista dos Tribunais, setembro de 1997 - vol 743 - pág. 617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Mantém-se a reabilitação do condenado que, em face de sua notória hipossuficiência econômica, evidenciada pelo recibo de pagamento dos salários mensais, à razão de um salário mínimo e meio, não pode, no momento, ressarcir o dano causado pelo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2026-10-26T02:20:01.073Z</dcterms:created>
  <dcterms:modified xsi:type="dcterms:W3CDTF">2026-10-26T02:20:01.073Z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