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/>
    <w:p>
      <w:r>
        <w:t xml:space="preserve">QUANDO A REPARAÇÃO DO DANO OU PROVA DESTE NÃO É MAIS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conforme se depreende do que dispõe o art. 168, § 10, inc. IX, do CC, em se tratando de delitos contra o patrimônio (furto, roubo, apropriação indébita, estelionato e outros), o lapso prescricional é o de 5 anos, contado a partir da data da prática do ilícito. Considerando que, no caso vertente, o roubo duplamente qualificado foi praticado pelo apelante em 08.05.1973 (f.), permite-se chegar ao montante do decurso de mais de 23 anos (f. - sentença, e f. acórdão). - Conseqüentemente, pelo decurso desse prazo já está prescrito o direito da vítima, para acionar o apelante, visando ressarcimento do dano, o que implica no entendimento de que desapareceu a obrigação jurídica da reparação do prejuízo. - Esta particularidade, de real importância em termos jurídicos, a par do entendimento jurisprudencial, segundo o qual o ressarcimento do dano é dispensável para o deferimento da reabilitação ou mesmo a comprovação da impossibilidade de fazê-lo (nesse sentido, Julgados do TACRIM-SP - Rec. Ex-Officio - relator RIBEIRO MACHADO, RJDTACRIM 9/219; idem RJDTACRIM 20/222, 223; e Rec. de Ofício 1016.411-0 - relator DÉCIO BARRETTI, v.u. - 15ª Câm.), permite seja deferida a pretensão do recorrente. - Com efeito, nestas condições é perfeitamente dispensável a prova do ressarcimento do dano e, considerando que o recorrente atendeu aos demais requisitos legais, exigidos para a obtenção do que pretende, ou seja, decurso de mais de dois anos da data do cumprimento da pena corporal e julgamento da extinção da pena pelo r. Juízo das Execuções Cri minais da Capital, viabiliza-se o deferimento da reabilitação. - Isto posto, dá-se provimento ao apelo e declara-se a reabilitação criminal ... Ac. de 10-04-1997 Revista dos Tribunais, setembro de 1997 - vol 743 - pág. 666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 que o direito da vítima em reclamar, na esfera civil, a indenização pelo dano causado já está prescrito pelo decurso do prazo de mais de cinco anos da data da prática do ilícito patrimonial, é desnecessário que o reabilitando apresente prova do ressarcimento ou que não tenha condições de fazê-lo, para o deferimento da reabilitação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2026-07-28T00:36:00.171Z</dcterms:created>
  <dcterms:modified xsi:type="dcterms:W3CDTF">2026-07-28T00:36:00.171Z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