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/>
    <w:p>
      <w:r>
        <w:t xml:space="preserve">QUANDO PODE SER DEDUZIDA ATRAVÉS  DE INDÍCIOS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enfatizar que a motocicleta foi roubada de seu proprietário na noite de 25-10-1989, na Cidade de Campinas ..., sendo encontrada no dia 27 de outubro no estacionamento de C. A. B., na Cidade de Atibaia, o qual a teria comprado do acusado na véspera. - Sendo assim, em realidade, a motocicleta, na hipótese mais favorável, permaneceu com o recorrente por apenas um dia, e não por cerca de um mês, ficando patenteado que ele a adquiriu com o propósito de aliená-la imediatamente, mediante aposição da assinatura forjada do proprietário no documento pertinente. Sabia da impossibilidade de obter o autógrafo do titular e tinha urgência em desfazer-se do veículo, presumidamente com algum inconfessável lucro, como ordinariamente acontece em delitos desse jaez. - Há fortes indícios de que o recorrente tinha ciência da origem ilícita da motocicleta, tanto que, na sua versão reticente, deixou de apontar o indivíduo de quem a adquiriu, indigitando-o apenas por "Ticão", omitindo o preço pago, a fim de tornar impossível o cotejo e a aferição da proporção com o valor de mercado. - Ora, a receptação dolosa exige dolo específico, de maneira que seria impossível a condenação do agente sem a confissão, porque somente através dela ter-se-ia a convicção segura do elemento subjetivo, consistente no conhecimento prévio do agent e a respeito da procedência criminosa da coisa adquirida ou recebida de outrem. Desse modo, para que a sanção se efetive e não fique ao alvedrio do próprio acusado, a prévia ciência da origem criminosa da coisa é passível de ser deduzida através de indícios sérios e da própria conduta do receptador antes e depois do delito. - De tal arte, a condenação foi corretamente decretada. Ac. de 20-03-1995 Revista dos Tribunais - Julho de 1995 - Vol. 717 - Pág. 385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receptação dolosa exige dolo específico, de maneira que seria impossível a condenação do agente sem a confissão, porque somente através dela ter-se-ia a convicção segura do elemento subjetivo, consistente no conhecimento prévio do agente a respeito da procedência criminosa da coisa adquirida ou recebida de outrem. Desse modo para que a sanção se efetive e não fique ao alvedrio do próprio acusado, a prévia ciência da origem criminosa da coisa é passível de ser deduzida através de indícios sérios e da própria conduta do receptador antes e depois do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2026-10-26T05:58:03.244Z</dcterms:created>
  <dcterms:modified xsi:type="dcterms:W3CDTF">2026-10-26T05:58:03.244Z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