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RECURSO EM SENTIDO ESTRITO</w:t>
      </w:r>
    </w:p>
    <w:p>
      <w:r>
        <w:rPr>
          <w:i/>
          <w:iCs/>
          <w:color w:val="666666"/>
        </w:rPr>
        <w:t xml:space="preserve">EFEITO SUSPENSIVO</w:t>
      </w:r>
    </w:p>
    <w:p/>
    <w:p/>
    <w:p>
      <w:r>
        <w:t xml:space="preserve">SE É POSSÍVEL DEPOIS DE APRESENTADO O RELATÓRIO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Recurso retoma as argumentações da impetração insistindo na falta de indícios de crime que justifiquem o prosseguimento do Inquérito Policial. - O Ministério Público Federal, nesta instância, opina pelo improvimento do Recurso. - ................................................. - Senhor Presidente, chega-me agora Petição em que o advogado CARLOS MÁRIO DA SILVA VELLOSO FILHO manifesta desistência deste Recurso. - Esta Eg. Turma já entendeu que é possível desistência mesmo depois de apresentado o Relatório e sendo este o caso, meu voto é no sentido de homologar a desistência. - É o voto. Ac. de 18-04-1994 Rev. do Sup. Tribunal de Justiça - Julho de 1994 - Nº 59 - Pág. 102 EMFOR 564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Pode o advogado desistir do Recurso mesmo depois de apresentado o Relatório.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2026-07-28T06:58:47.374Z</dcterms:created>
  <dcterms:modified xsi:type="dcterms:W3CDTF">2026-07-28T06:58:47.374Z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