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/>
    <w:p>
      <w:r>
        <w:t xml:space="preserve">SE É POSSÍVEL DEPOIS DE APRESENTADO O RELATÓRIO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retoma as argumentações da impetração insistindo na falta de indícios de crime que justifiquem o prosseguimento do Inquérito Policial. - O Ministério Público Federal, nesta instância, opina pelo improvimento do Recurso. - ................................................. - Senhor Presidente, chega-me agora Petição em que o advogado CARLOS MÁRIO DA SILVA VELLOSO FILHO manifesta desistência deste Recurso. - Esta Eg. Turma já entendeu que é possível desistência mesmo depois de apresentado o Relatório e sendo este o caso, meu voto é no sentido de homologar a desistência. - É o voto. Ac. de 18-04-1994 Rev. do Sup. Tribunal de Justiça - Julho de 1994 - Nº 59 - Pág. 102 EMFOR 564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advogado desistir do Recurso mesmo depois de apresentado o Relatório.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2026-10-26T05:00:57.132Z</dcterms:created>
  <dcterms:modified xsi:type="dcterms:W3CDTF">2026-10-26T05:00:57.132Z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