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RECURSO EM SENTIDO ESTRITO</w:t>
      </w:r>
    </w:p>
    <w:p>
      <w:r>
        <w:rPr>
          <w:i/>
          <w:iCs/>
          <w:color w:val="666666"/>
        </w:rPr>
        <w:t xml:space="preserve">EFEITO SUSPENSIVO</w:t>
      </w:r>
    </w:p>
    <w:p/>
    <w:p>
      <w:r>
        <w:rPr>
          <w:b/>
          <w:bCs/>
        </w:rPr>
        <w:t xml:space="preserve">Julgado em: </w:t>
      </w:r>
      <w:r>
        <w:t xml:space="preserve">12/12/1985</w:t>
      </w:r>
    </w:p>
    <w:p/>
    <w:p>
      <w:r>
        <w:t xml:space="preserve">SENTENÇA CONDENATÓRIA — INTIMAÇÃO AO RÉU E AO DEFENSOR - FLUÊNCIA - QUANDO SE INICIA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Como se vê, o venerando acórdão recorrido não conheceu do pedido revisional por não haver transitado em julgado a sentença revisando. E não houve trânsito em julgado, porque, sendo indispensável a intimação da sentença condenatória ao réu e ao defensor, a do defensor deve ser posterior à do condenado, pois este é que conduz a defesa, no caso, a intimação do defensor precedeu a do réu, sem que se iniciasse o fluxo do prazo recursal e a consequente preclusão máxima. - O recurso extraordinário do Ministério Público Estadual, somente pela "d", cumpre devidamente a demonstração de que o julgado recorrido, na tese em que defende, está em flagrante dissídio com os acórdãos no RHC nº 59.775, da Segunda Turma, Relator o Ministro ALFREDO BUZAID, consoantes na posição, em contrariedade aquela, no sentido de que é irrelevante a ordem em que se façam as intimações necessárias, correndo o prazo recursal a partir da última que for feita, o que implicará na formação da coisa julgada, caso não intentado o apelo cabível. - No caso, portanto, há trânsito em julgado da decisão condenatória uma vez que não exercitado a partir da última intimação o recurso cabível, e assim, está configurado o pressuposto para o pedido de revisão. - Conheço, portanto, do recurso e dou-lhe provimento a fim de que, cassado o acórdão recorrido, o Egrégio Tribunal prossiga no julgamento da revisão criminal. Julgado em 13-12-1985 Revista Trimestral de Jurisprudência. Vol. 116 - Pág. 1.290 EMFOR 458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indiferente a ordem em que se façam as intimações da sentença condenatória ao réu e ao defensor, fluindo o prazo recursal a partir da última que tenha sido realizada.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2026-10-26T03:43:31.749Z</dcterms:created>
  <dcterms:modified xsi:type="dcterms:W3CDTF">2026-10-26T03:43:31.749Z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