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Julgado em: </w:t>
      </w:r>
      <w:r>
        <w:t xml:space="preserve">29/07/1986</w:t>
      </w:r>
    </w:p>
    <w:p/>
    <w:p>
      <w:r>
        <w:t xml:space="preserve">REPRODUÇÃO NA IMPRENSA — QUANDO NÃO O OFENDE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reprodução do artigo... não constitui ofensa aos direitos de autor (art. 49, I, b, Lei 5.988/73), pois se trata de escrito meramente informativo, sem qualquer caráter literário. - O trabalho reproduzido, que fora estampado no "Jornal do Brasil", de 24-04-85, não está abrangido pelo art. 6º da lei de direitos autorais. - Na verdade equipara-se à notícia impressa em "O Globo", na mesma data, que dá conta da mudança da fórmula da Coca-Cola, em virtude da crescente aceitação da Pepsi Cola, pelo mercado americano. Julgado em 30-07-1986 VOTO VENCIDO DO RELATOR DESEMBARGADO ANTÔNIO ASSUNÇÃO - Conquanto seja realmente duvidosa a aplicabilidade ao caso da legislação relativa ao denominado direito autoral, é fora de dúvida que a ré, ora apelada, utilizou-se do fruto do trabalho imaterial do apelante, fazendo reproduzir por mais de uma vez, em seu exclusivo proveito, artigo por esse assinado e publicado no Jornal do Brasil de 24 de abril de 1985. Assim não importa que se trata-se de trabalho jornalístico meramente noticioso e sem evidente valor literário, visto ser princípio de direito achar-se sujeita a retribuição a utilização de qualquer serviço ou trabalho alheio, material ou imaterial, contanto que lícito (art. 1.216 do Código Civil). - Dir-se-ia que esta disposição diz respeito ao serviço ou trabalho contratado. Mas, se assim é, e pela mesma razão há de ser remunerado o fruto do serviço ou do trabalho de que outrem unilateral e arbitrariamente se apropriou, máxime quando a apropriação ocorreu em seu exclusivo proveito. - Também não importa à vista do referido princípio, distinguir-se no caso entre a locação de serviço e a empreitada. O fato é que a obrigação é juridicamente evidente, ha vendo de prevalecer como critério da medida do seu valor estabelecido no art. 1.218 do Código Civil. - Diga-se, finalmente, também não importar haja invocado o autor, ora apelante, de modo inadequado, como fundamento legal de sua pretensão, o disposto na legislação reguladora dos direitos autorais, eis que os fundamentos fáticos do pedido o autorizavam juridicamente a formulá-lo. "Jura novit Curia". Arquivo do EMFOR, TJ/1.489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ofende o direito autoral a reprodução na imprensa de artigo informativo assinado, sem caráter literário, publicado em diários ou periódicos com a menção do nome do autor.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2026-10-26T02:35:20.725Z</dcterms:created>
  <dcterms:modified xsi:type="dcterms:W3CDTF">2026-10-26T02:35:20.725Z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