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>
      <w:r>
        <w:rPr>
          <w:b/>
          <w:bCs/>
        </w:rPr>
        <w:t xml:space="preserve">Julgado em: </w:t>
      </w:r>
      <w:r>
        <w:t xml:space="preserve">18/10/1984</w:t>
      </w:r>
    </w:p>
    <w:p/>
    <w:p>
      <w:r>
        <w:t xml:space="preserve">RÉU TECNICAMENTE PRIMÁRIO — QUANDO COMO TAL SE CONSIDERA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sentença condenatória com apoio na certidão, considerou o réu reincidente em crime doloso (artigo 129, "caput" do Código Penal). - Ocorre, todavia, que aquela condenação somente transitou em julgado para o Ministério Público em 09-07-81, enquanto o fato que deu origem ao processo e à condenação "sub judice" é de 12-03-81, antes, portanto, de transitar em julgado a condenação já referida. - Essa circunstância, alias foi reconhecida, tanto pelo Acórdão recorrido, como pelo parecer da Sub-Procuradoria-Geral da República. - Sendo tecnicamente primário o paciente, não se justificava a exacerbação da pena e muito menos a imposição da medida de segurança detentiva, com apoio nos artigos 78, inciso IV, e 93, inciso I, do Código Penal. - A pena fica, portanto, reduzida para três meses de detenção, por infração do artigo 129 do Código Penal, e seis meses de detenção, além da multa de Cr$ 1.000,00 pela violação do artigo 163, parágrafo único, inciso I, do mesmo estatuto penal, cancelada a medida de segurança detentiva. - Para tais fins, dou provimento parcial ao recurso. Julgado em 19-10-1984 Revista Trimestral de Jurisprudência. Junho, 1985 - Vol. 112 - Pág. 1.049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o réu tecnicamente primário, visto que a condenação anterior somente transitou em julgado para o Ministério Público em data posterior ao fato que deu origem ao segundo processo, não se pode cogitar de reincidência.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2026-10-26T02:50:09.102Z</dcterms:created>
  <dcterms:modified xsi:type="dcterms:W3CDTF">2026-10-26T02:50:09.102Z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