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15/12/1997</w:t>
      </w:r>
    </w:p>
    <w:p/>
    <w:p>
      <w:r>
        <w:t xml:space="preserve">MANIFESTAÇÃO INEQUÍVOCA DA VÍTIMA EM VER APURADO O DELITO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 como já tive oportunidade de me manifestar sobre a matéria em questão, não havendo formas rígidas para oferecimento da representação, basta a vontade inequívoca do ofendido em ver processado o seu ofensor, sendo possível o acolhimento da queixa-crime, anteriormente rejeitada, como se representação fosse, para o processamento normal da ação penal pública, nos termos dos arts. 20, 23, II e 40, I, "b", da lei de Imprensa, não havendo que se falar em ofensa a coisa julgada, tal como decidido no RHC 6.167/RS, do qual fui relator, cujo aresto, publicado no Diário da Justiça de 08.09.97, restou ementado da seguinte forma, "verbis": "RHC. Crime de imprensa. Ação penal pública condicionada. Queixa-crime acolhida no lugar de representação. Possibilidade. Inexistindo previsão legal para a formalização da representação, nos crimes de ação penal pública condicionada, basta a manifestação inequívoca de vontade da vítima em ser instaurada a ação penal. Recurso improvido". Julgado em 16-12-1997 Revista de Direito - Tr. Just. do Estado do Rio de Janeiro - vol. 36 - 1998 - pág. 127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previsão legal para a formalização da representação, nos crimes de ação penal pública condicionada, basta a manifestação inequívoca de vontade da vítima em ser instaurada 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2026-10-26T03:23:54.785Z</dcterms:created>
  <dcterms:modified xsi:type="dcterms:W3CDTF">2026-10-26T03:23:54.785Z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