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SUSPENSÃO CONDICIONAL DO PROCESSO</w:t>
      </w:r>
    </w:p>
    <w:p/>
    <w:p>
      <w:r>
        <w:rPr>
          <w:b/>
          <w:bCs/>
        </w:rPr>
        <w:t xml:space="preserve">Tribunal: </w:t>
      </w:r>
      <w:r>
        <w:t xml:space="preserve">TJMG</w:t>
      </w:r>
    </w:p>
    <w:p>
      <w:r>
        <w:rPr>
          <w:b/>
          <w:bCs/>
        </w:rPr>
        <w:t xml:space="preserve">Relator: </w:t>
      </w:r>
      <w:r>
        <w:t xml:space="preserve">AMÉRICO MACEDO</w:t>
      </w:r>
    </w:p>
    <w:p/>
    <w:p>
      <w:r>
        <w:t xml:space="preserve">RESPONSABILIDADE ATENUADA — QUANDO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primeiro signatário do laudo médico, Dr. A. de F. P., opinou no sentido de que o réu fosse incluso nas condições previstas no parágrafo único do art. 26 do Código Penal. - A jurisprudência ensina que: "Se, embora constatada a oligofrenia, ficar patente que a doença não suprimiu a capacidade ético-jurídica ou de autogoverno do paciente, a responsabilidade criminal deste subsiste, conquanto atenuada" (TJMG - Ac. - Rel. AMÉRICO MACEDO - RT, 418/354). - DAMÁSIO EVANGELISTA DE JESUS, em seu livro Código Penal Anotado, 4ª edição, 1994, ..., ensina que: "Para que seja considerado inimputável não basta que o agente seja portador de "doença mental, ou desenvolvimento mental incompleto ou retardado". É necessário que, em conseqüência desses estados, seja "inteiramente incapaz de entender o caráter ilícito do fato ou de determinar-se de acordo com esse entendimento" (no momento da conduta). - O réu-apelante não se inclui nesse caso, conforme resultado do exame psicológico a que foi submetido, portanto, impossível atender o pleito da defesa. - A sentença de primeiro grau está bem prolatada. O MM. Juiz analisou bem a prova dos autos e as circunstâncias dos fatos, com relação ao estado mental do réu. A dosimetria da pena atendeu o fim a que se presta o Direito Penal. A sentença hostilizada não merece reparo, devendo ser mantida. Ac. de 09-02-1995 Jurispr. Mineira - Abril à Setembro de 1995 - Vol. 132/133 - Pág. 310 EMFOR 573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Constatando o exame psiquiátrico realizado que o réu sofre de oligofrenia e apresenta desenvolvimento mental incompleto ou retardado, afirmando, porém, não ser o mesmo inteiramente incapaz de entender o caráter ilícito do ato que cometeu, a responsabilidade criminal deste subsiste, conquanto atenuada.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2026-10-26T03:24:37.929Z</dcterms:created>
  <dcterms:modified xsi:type="dcterms:W3CDTF">2026-10-26T03:24:37.929Z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