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Julgado em: </w:t>
      </w:r>
      <w:r>
        <w:t xml:space="preserve">16/03/1997</w:t>
      </w:r>
    </w:p>
    <w:p/>
    <w:p>
      <w:r>
        <w:t xml:space="preserve">IMPOSSIBILIDADE — FALTA DE PREVISÃO LEGAL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alegação de que foi condenado sem justa causa implicaria o exame do conjunto probatório, o que não se admite em sede de habeas corpus, conforme tem decidido esta Corte: HC 66.585-SP, rel. Min. SYDNEY SANCHES, RTJ 130/136; HC 68.802-BA, rel. Min. CÉLIO BORJA, RTJ 139/194; HC 72.165-SP, rel. Min. CARLOS VELLOSO, DJ 19.05.1995; HC 74.136-SP, rel. Min. CARLOS VELLOSO, DJ 08.11.1996. - Também não é de ser atendido o pedido de aguardar em liberdade o julgamento da revisão criminal que requereu, por falta de amparo legal (CPP, art. 594) e por não ter a ação revisional o efeito de suspender a execução da sentença condenatória, conforme já decidiu esta Corte: HC 74.078-RJ, rel. Min. ILMAR GALVÃO, DJ 25.04.1997. - Comentando o art. 594 do CPP, registra MIRABETE: "Lavrando sentença condenatória, a regra é a de que o juiz determine a expedição de mandado de prisão quando imposta pena privativa de liberdade, não suspensa. A apelação, portanto, não tem, em princípio, efeito suspensivo. Diante do art. 5º da CF de 1988, que prevê no inc. LVII que ninguém será considerado culpado até o trânsito em julgado da sentença condenatória, e do inc. LXVI, que diz que ninguém será levado à prisão ou nela mantido, quando a lei admitir a liberdade provisória, com ou sem fiança, chegou-se a defender a tese de que o juiz não poderia determinar mais a prisão senão quando a sentença transitasse em julgado, ou ao menos que seria necessário para o recolhimento à prisão uma decisão fundamentada. Entretanto, a ordem de recolher-se o réu à prisão para possibilitar o processamento do recurso não significa considerá-lo culpado antes do trânsito em julgado da sentença condenatória. As regras constituc ionais citadas apenas impedem que seu nome seja inscrito no `rol dos culpados', que se inicie a execução da pena ou que se produzam outros efeitos da condenação. A Carta Magna não proíbe qualquer prisão provisória ou cautelar, desde que decretada por órgão jurisdicional, nem demarca rigidamente o conceito de liberdade provisória, delegando ao legislador ordinário a previsão dos seus pressupostos. É na lei processual que se verificam quais as hipóteses em que a liberdade provisória pode ser admitida, nada impedindo que se obrigue o condenado, na ausência dos requisitos legais, a ser recolhido à prisão para aguardar o julgamento de apelo, como uma das hipóteses de prisão provisória, semelhante à prisão em flagrante, à prisão temporária e à prisão preventiva. A Constituição permite a custódia por ordem da autoridade judiciária competente e o art. 594 não contempla interpretação extrema e nem aplicação limitada quando prevê o recolhimento do réu condenado à prisão: é regra procedimental condicionante do processamento da apelação, não foi derrogada pelo art. 5º, LVII, da CF de 1988, está fundamentada pela sentença condenatória e não ofende a garantia constitucional de ampla defesa. Dispõe, a respeito, a Súm. 9 do STJ: `A exigência da prisão provisória, para apelar, não ofende a garantia constitucional da presunção de inocência' (Código de Processo Penal interpretado, JÚLIO FABBRINI MIRABETE, 5ª ed., 1994, Atlas, p. 683-684)". - Do exposto, indefiro o writ. Ac. de 24-06-1997 Revista dos Tribunais, novembro de 1997 - vol 745 - pág. 500 EMENTÁRIO FORENSE. Janeiro, 1998. Ano LI. Nº 590 EMENTA: - A revisão criminal não se presta para modificar critério de estabelecimento de pena, salvo se ocorrer fixação teratológica. RESUMO DO ACÓRDÃO: - Não custa repetir, outrossim, que não se presta a revisão para modificar critério de estabelecimento de pena, salvo fixação teratológica que, evidentemente, não é o caso dos autos. Julgado em 17-03-1997 Revista dos Tribunais, Julho de 1997, vol. 741, pág. 627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de ser atendido pedido de aguardar em liberdade o julgamento de revisão criminal, por falta de amparo legal (CPP, art. 594) e por não ter a ação revisional o efeito de suspender a execução da sentença condenatória.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2026-10-26T03:21:48.411Z</dcterms:created>
  <dcterms:modified xsi:type="dcterms:W3CDTF">2026-10-26T03:21:48.411Z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