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ROUBO QUALIFICADO</w:t>
      </w:r>
    </w:p>
    <w:p>
      <w:r>
        <w:rPr>
          <w:i/>
          <w:iCs/>
          <w:color w:val="666666"/>
        </w:rPr>
        <w:t xml:space="preserve">EMPREGO DE ARMA DEFEITUOSA</w:t>
      </w:r>
    </w:p>
    <w:p/>
    <w:p/>
    <w:p>
      <w:r>
        <w:t xml:space="preserve">PORTE ILEGAL — QUANDO RESPONDE  PELO CONCURSO MATERIAL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réu, mediante emprego de arma e concurso de pessoa comete o delito de roubo, cujas res não se logra recuperar integralmente, com esse atuar realiza o tipo penal previsto no art. 157 parágrafo 2º, inciso I e II, do Cód. Penal, em sua forma consumada. Por outro lado, em sendo o réu detido e preso com uma das res, tempos após o fato, com um revólver apto para produzir disparos, fora de casa ou de dependência desta, sem licença da autoridade, incide no tipo contravencional do porte de arma. Presente o concurso material de crime, eis que os tipos foram praticados contra vítimas diversas e comparsas não identificados, motivo da reiteração deliquencial. Ac. de 21-08-1991 Arquivo do EMFOR - TA/2.376 EMFOR 541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2026-10-26T03:04:34.672Z</dcterms:created>
  <dcterms:modified xsi:type="dcterms:W3CDTF">2026-10-26T03:04:34.672Z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