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ROUBO QUALIFICADO</w:t>
      </w:r>
    </w:p>
    <w:p>
      <w:r>
        <w:rPr>
          <w:i/>
          <w:iCs/>
          <w:color w:val="666666"/>
        </w:rPr>
        <w:t xml:space="preserve">EMPREGO DE ARMA DEFEITUOSA</w:t>
      </w:r>
    </w:p>
    <w:p/>
    <w:p/>
    <w:p>
      <w:r>
        <w:t xml:space="preserve">CESSAÇÃO DA QUALIDADE DO REPRESENTANTE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O casamento da ofendida com quem não seja o ofensor faz cessar a qualidade do seu representante legal, e a ação penal só pode prosseguir por iniciativa da própria ofendida, observados os prazos legais de decadência e perempção. Referência: - Cód. Penal, artigos 102 e 108, VIII; - Cód. Proc. Penal, artigos 24 e 5; - Cód Civil, artigo 9º, parágrafo 1º, II AG 23.918, de 23.05.61; RHC 39.071, de 09.05.62; RHC 40.342, de 27.11.63; RHC 40.327, de 09.12.63; RHC 40.326, de 11.03.64. DJ - nº 82, de 8 de maio de 1964 - ADENDO Nº 1 - pág. 1.238 EMENTÁRIO FORENSE. Fevereiro, 1965. Ano XVII. Nº 195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2026-07-28T00:20:03.696Z</dcterms:created>
  <dcterms:modified xsi:type="dcterms:W3CDTF">2026-07-28T00:20:03.696Z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