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EMPREGO DE ARMA DEFEITUOSA</w:t>
      </w:r>
    </w:p>
    <w:p/>
    <w:p/>
    <w:p>
      <w:r>
        <w:t xml:space="preserve">VÍTIMA LETRADA — SE A  CIRCUNSTÂNCIA EXCLUI 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bem salientado pelo ilustre Procurador da Justiça oficiante, o fato de a vítima haver cursado até o 5º ano do 1º ciclo a assistir as novelas de televisão "não tem o condão de afastar a configuração do cogitado ilícito penal, posto que a inexperiência que a lei exige da jovem donzela não se confunde com a ignorância teórica dos assuntos relativos à sexualidade humana". Em verdade, acabou ela "cedendo aos apelos libidinoso do namorado romântico e envolvente que fala de casamento, após namoro prolongado e aplaudido pelas famílias de ambos" (parecer). Ac. de 26-12-1988 Revista dos Tribunais - Janeiro de 1989 - Vol. 639 - pág. 282 EMFOR 511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ser a vítima do crime de sedução pessoa instruída e bem-informada não tem o condão de afastar a configuração do ilícito penal, posto que a inexperiência exigida, pelo art. 217 do CP não se confunde com a ignorância teórica de assuntos relativos à sexualidade humana.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2026-07-28T04:26:42.688Z</dcterms:created>
  <dcterms:modified xsi:type="dcterms:W3CDTF">2026-07-28T04:26:42.688Z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