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ROUBO QUALIFICADO</w:t>
      </w:r>
    </w:p>
    <w:p>
      <w:r>
        <w:rPr>
          <w:i/>
          <w:iCs/>
          <w:color w:val="666666"/>
        </w:rPr>
        <w:t xml:space="preserve">EMPREGO DE ARMA DEFEITUOSA</w:t>
      </w:r>
    </w:p>
    <w:p/>
    <w:p/>
    <w:p>
      <w:r>
        <w:t xml:space="preserve">VÍTIMA LETRADA — SE A  CIRCUNSTÂNCIA EXCLUI O DELITO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Como bem salientado pelo ilustre Procurador da Justiça oficiante, o fato de a vítima haver cursado até o 5º ano do 1º ciclo a assistir as novelas de televisão "não tem o condão de afastar a configuração do cogitado ilícito penal, posto que a inexperiência que a lei exige da jovem donzela não se confunde com a ignorância teórica dos assuntos relativos à sexualidade humana". Em verdade, acabou ela "cedendo aos apelos libidinoso do namorado romântico e envolvente que fala de casamento, após namoro prolongado e aplaudido pelas famílias de ambos" (parecer). Ac. de 26-12-1988 Revista dos Tribunais - Janeiro de 1989 - Vol. 639 - pág. 282 EMFOR 511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fato de ser a vítima do crime de sedução pessoa instruída e bem-informada não tem o condão de afastar a configuração do ilícito penal, posto que a inexperiência exigida, pelo art. 217 do CP não se confunde com a ignorância teórica de assuntos relativos à sexualidade humana.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2026-10-26T05:40:44.767Z</dcterms:created>
  <dcterms:modified xsi:type="dcterms:W3CDTF">2026-10-26T05:40:44.767Z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