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Julgado em: </w:t>
      </w:r>
      <w:r>
        <w:t xml:space="preserve">16/12/1985</w:t>
      </w:r>
    </w:p>
    <w:p/>
    <w:p>
      <w:r>
        <w:t xml:space="preserve">QUANDO NÃO HÁ NECESSIDADE DA INTIMAÇÃO DA DEFESA E DO RÉU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Realmente, tem-se entendido que, no caso de inquirições realizadas em outra comarca, encontrando-se o réu preso, não é necessário se encontre ele presente, mormente se não foi apontado qual o real prejuízo para a defesa. - No caso presente, tal prejuízo não foi demonstrado. - Outrossim, são vários os acórdãos no sentido de que, havendo a intimação da expedição da precatória, já deverá o acompanhamento ser feito na nova comarca, não sendo assim necessário que, para a data marcada, haja intimação para o defensor, naquela comarca de origem, ou para o réu que ali se encontra preso. - Assim sendo, Sr. Presidente, adoto o parecer da douta Procuradoria-Geral da República e indefiro o "habeas corpus". - É o meu voto. Julgado em 17-12-1985 Revista Trimestral de Jurisprudência. Vol. 118 - Pág. 93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Tem-se entendido que não há nulidade, mormente não havendo prejuízo para a Defesa, em serem ouvidas testemunhas ou as vítimas, em Comarca outra que não aquela em que se encontre preso o réu. - Não há necessidade de intimação da Defesa ou do réu da data marcada para a inquirição de testemunhas em outra Comarca, se para eles houve intimação da expedição da precatória.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2026-10-26T02:37:22.004Z</dcterms:created>
  <dcterms:modified xsi:type="dcterms:W3CDTF">2026-10-26T02:37:22.004Z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