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Julgado em: </w:t>
      </w:r>
      <w:r>
        <w:t xml:space="preserve">16/12/1985</w:t>
      </w:r>
    </w:p>
    <w:p/>
    <w:p>
      <w:r>
        <w:t xml:space="preserve">QUANDO NÃO HÁ NECESSIDADE DA INTIMAÇÃO DA DEFESA E DO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Realmente, tem-se entendido que, no caso de inquirições realizadas em outra comarca, encontrando-se o réu preso, não é necessário se encontre ele presente, mormente se não foi apontado qual o real prejuízo para a defesa. - No caso presente, tal prejuízo não foi demonstrado. - Outrossim, são vários os acórdãos no sentido de que, havendo a intimação da expedição da precatória, já deverá o acompanhamento ser feito na nova comarca, não sendo assim necessário que, para a data marcada, haja intimação para o defensor, naquela comarca de origem, ou para o réu que ali se encontra preso. - Assim sendo, Sr. Presidente, adoto o parecer da douta Procuradoria-Geral da República e indefiro o "habeas corpus". - É o meu voto. Julgado em 17-12-1985 Revista Trimestral de Jurisprudência. Vol. 118 - Pág. 93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Tem-se entendido que não há nulidade, mormente não havendo prejuízo para a Defesa, em serem ouvidas testemunhas ou as vítimas, em Comarca outra que não aquela em que se encontre preso o réu. - Não há necessidade de intimação da Defesa ou do réu da data marcada para a inquirição de testemunhas em outra Comarca, se para eles houve intimação da expedição da precatória.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2026-07-28T00:12:57.291Z</dcterms:created>
  <dcterms:modified xsi:type="dcterms:W3CDTF">2026-07-28T00:12:57.291Z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