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PRINCÍPIO DA INSIGNIFICÂNCIA</w:t>
      </w:r>
    </w:p>
    <w:p/>
    <w:p/>
    <w:p>
      <w:r>
        <w:t xml:space="preserve">NÃO CONCESSÃO DE PRAZO PARA SUA  LOCALIZAÇÃO OU SUBSTITUIÇÃO — OFENSA AO PRINCÍPIO DA AMPLA  DEFESA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Ora, diante dessas circunstâncias, seria mais prudente dar cumprimento ao art. 405 do CPP, ante o princípio constitucional da ampla defesa. - O argumento de que tal substituição poderia ocorrer indefinidamente cai, ante a obrigação do juiz de coarciar a prática de medidas procrastinatórias. Se estas ocorrerem, estará livre o MM. Juiz para coarctá-la. Ac. de 19-09-1990 Revista dos Tribunais - Nov. de 1991 - Vol. 673 - Pág. 312. EMFOR 528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não concessão de prazo para a localização ou substituição de testemunha, nos termos do art. 405 do CPP, ofende o princípio da ampla defesa e implica nulidade do processo.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2026-10-26T03:50:50.032Z</dcterms:created>
  <dcterms:modified xsi:type="dcterms:W3CDTF">2026-10-26T03:50:50.032Z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