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/>
    <w:p>
      <w:r>
        <w:t xml:space="preserve">SE É NULA QUANDO FEITA SEM A PRESENÇA DO RÉU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há, igualmente, o pretendido cerceamento de defesa em função da não requisição do réu (preso) pelo Juízo deprecado quando da inquirição por precatória de duas testemunhas de acusação. A lei não exige a presença do réu na inquirição por precatória, e o fato de se fundar a defesa na tese da negativa de autoria em nada altera essa verdade. Poderia a defesa, se quisesse, requerer como diligência que se procedesse ao reconhecimento formal do réu pelas testemunhas em questão, e então, sim, seria o caso de se requisitar o réu no Juízo deprecado. Entretanto, a defesa nada postulou em tal sentido, tendo oferecido alegações finais e, depois, recorrido da pronúncia sem fazer qualquer restrição ao modo pela qual se procedeu à inquirição das testemunhas. Ainda que nulidade houvesse, por outro lado, tratar-se-ia, tipicamente, de uma daquelas que precluem quando não arguidas em alegações finais (C.P. Penal, arts. 571, I e 406). Ac. de 15-03-1988 Arquivo do EMFOR - TJ/1.801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importa em nulidade a inquirição de testemunhas de acusação por precatória sem a presença do réu.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2026-07-28T02:14:48.823Z</dcterms:created>
  <dcterms:modified xsi:type="dcterms:W3CDTF">2026-07-28T02:14:48.823Z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