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CARTA PRECATÓRIA</w:t>
      </w:r>
    </w:p>
    <w:p>
      <w:r>
        <w:rPr>
          <w:i/>
          <w:iCs/>
          <w:color w:val="666666"/>
        </w:rPr>
        <w:t xml:space="preserve">TESTEMUNHAS DE DEFESA</w:t>
      </w:r>
    </w:p>
    <w:p/>
    <w:p>
      <w:r>
        <w:rPr>
          <w:b/>
          <w:bCs/>
        </w:rPr>
        <w:t xml:space="preserve">Julgado em: </w:t>
      </w:r>
      <w:r>
        <w:t xml:space="preserve">08/12/1996</w:t>
      </w:r>
    </w:p>
    <w:p/>
    <w:p>
      <w:r>
        <w:t xml:space="preserve">QUANDO NÃO ARROLADA NA DEFESA PRÉVIA — CRITÉRIO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reitera o apelante, sem razão, questão já analisada por duas vezes nesta Superior Instância, no sentido de que o Magistrado, indevidamente, indeferiu a oitiva de testemunha arrolada na fase do art. 499 do CPP, implicando isso em cerceamento de defesa. - A C. 5ª Câm. de Férias deste E. Tribunal, ao julgar o habeas corpus (f.) impetrado em favor do recorrente, afastou tal preambular, salientando que: "A norma do art. 499 do CPP não se confunde com o disposto no art. 395 do estatuto adjetivo, motivo pelo qual não é dado à defesa ouvir testemunha não arrolada na defesa prévia, salvo a hipótese de surgirem referências no curso da instrução. Ainda assim a matéria ficará a critério do Magistrado. Inocorreu o alegado cerceamento de defesa, porquanto pretendeu o patrono do paciente ouvir testemunhas que não figuram na defesa prévia, anotando-se, ainda, a total ausência de demonstração de prejuízo" (f.). Julgado em 09-12-1996 Revista dos Tribunais, Julho de 1997, vol. 741, pág. 610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defesa ouvir testemunha não arrolada na defesa prévia, salvo hipótese de surgirem referências no curso da instrução, ficando a matéria, ainda assim, a critério do Juiz, pois a norma do art. 499 do CPP não se confunde com o disposto em seu art. 395.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2026-10-26T03:24:11.600Z</dcterms:created>
  <dcterms:modified xsi:type="dcterms:W3CDTF">2026-10-26T03:24:11.600Z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