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>
      <w:r>
        <w:rPr>
          <w:b/>
          <w:bCs/>
        </w:rPr>
        <w:t xml:space="preserve">Julgado em: </w:t>
      </w:r>
      <w:r>
        <w:t xml:space="preserve">08/12/1996</w:t>
      </w:r>
    </w:p>
    <w:p/>
    <w:p>
      <w:r>
        <w:t xml:space="preserve">QUANDO NÃO ARROLADA NA DEFESA PRÉVIA — CRITÉRIO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reitera o apelante, sem razão, questão já analisada por duas vezes nesta Superior Instância, no sentido de que o Magistrado, indevidamente, indeferiu a oitiva de testemunha arrolada na fase do art. 499 do CPP, implicando isso em cerceamento de defesa. - A C. 5ª Câm. de Férias deste E. Tribunal, ao julgar o habeas corpus (f.) impetrado em favor do recorrente, afastou tal preambular, salientando que: "A norma do art. 499 do CPP não se confunde com o disposto no art. 395 do estatuto adjetivo, motivo pelo qual não é dado à defesa ouvir testemunha não arrolada na defesa prévia, salvo a hipótese de surgirem referências no curso da instrução. Ainda assim a matéria ficará a critério do Magistrado. Inocorreu o alegado cerceamento de defesa, porquanto pretendeu o patrono do paciente ouvir testemunhas que não figuram na defesa prévia, anotando-se, ainda, a total ausência de demonstração de prejuízo" (f.). Julgado em 09-12-1996 Revista dos Tribunais, Julho de 1997, vol. 741, pág. 610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defesa ouvir testemunha não arrolada na defesa prévia, salvo hipótese de surgirem referências no curso da instrução, ficando a matéria, ainda assim, a critério do Juiz, pois a norma do art. 499 do CPP não se confunde com o disposto em seu art. 395.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2026-07-28T06:51:47.090Z</dcterms:created>
  <dcterms:modified xsi:type="dcterms:W3CDTF">2026-07-28T06:51:47.090Z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