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FALSIFICAÇÃO DE DOCUMENTO PÚBLICO</w:t>
      </w:r>
    </w:p>
    <w:p>
      <w:r>
        <w:rPr>
          <w:i/>
          <w:iCs/>
          <w:color w:val="666666"/>
        </w:rPr>
        <w:t xml:space="preserve">CERTIFICADO DE APROVAÇÃO EM EXAME</w:t>
      </w:r>
    </w:p>
    <w:p/>
    <w:p/>
    <w:p>
      <w:r>
        <w:t xml:space="preserve">TRÁFICO INTERNO DE ENTORPECENTES E MOEDA FALSA — JUSTIÇA FEDERAL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acentuado no parecer da douta Subprocuradoria-Geral da República, os crimes noticiados na ação penal em que se instaurou o presente conflito foram praticados em conexão. É que os réus utilizaram moeda falsa para fortalecer o comércio de drogas. - Na espécie, incide o comando jurisprudencial inscrito na Súmula n. 122, deste Tribunal, do teor seguinte: "Compete à Justiça Federal o processo e julgamento unificado dos crimes conexos de competência federal e estadual, não se aplicando a regra do art. 78, II, "a", do Código de Processo Penal". - Isto posto, conheço do conflito e declaro a competência do Juízo Federal da Vara Única de Caxias de Sul - Rio Grande do Sul. - É o voto. Ac. de 11-09-1996 DJ de 04-11-1996 LEX - JSTJ e TRF - Vol. 92 - Pág. 262 EMFOR 623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à Justiça Federal processar e julgar, em uma única ação penal os crimes de tráfico interno de drogas e de moeda falsa, em razão da conexão probatória.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2026-10-26T05:44:41.294Z</dcterms:created>
  <dcterms:modified xsi:type="dcterms:W3CDTF">2026-10-26T05:44:41.294Z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