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JUIZADO ESPECIAL</w:t>
      </w:r>
    </w:p>
    <w:p>
      <w:r>
        <w:rPr>
          <w:i/>
          <w:iCs/>
          <w:color w:val="666666"/>
        </w:rPr>
        <w:t xml:space="preserve">LEI 9.099 DE 26-09-1995</w:t>
      </w:r>
    </w:p>
    <w:p/>
    <w:p>
      <w:r>
        <w:rPr>
          <w:b/>
          <w:bCs/>
        </w:rPr>
        <w:t xml:space="preserve">Recurso: </w:t>
      </w:r>
      <w:r>
        <w:t xml:space="preserve">habeas corpus .</w:t>
      </w:r>
    </w:p>
    <w:p/>
    <w:p>
      <w:r>
        <w:t xml:space="preserve">CASOS EM QUE SE APLICA — INTELIGÊNCIA DOS ARTS. 88 E 91 DA LEI 9.099/95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, é reiterada a jurisprudência deste Tribunal no sentido de que os arts. 89 e 91 da Lei 9.099/95, que dizem respeito à necessidade de representação do ofendido para a instauração de ação penal pública por crimes de lesões corporais leves e culposas, como se vê no HC 74.606-MS, da minha relatoria, em DJU de 23.05.1997, assim ementado, in verbis: "Ementa: Recurso em habeas corpus . Crime de lesão corporal culposa praticado por soldado da Aeronáutica - Necessidade de representação do ofendido. 1. Os arts. 88 e 91 da Lei dos Juizados Especiais Cíveis e Criminais (Lei 9.099, de 26.09.1995), que exigem representação do ofendido para a instauração de processo-crime aplicam-se a todos e quaisquer processos, sejam os que digam respeito às leis codificadas - Código Penal e Código Penal Militar - ou às extravagantes, de qualquer natureza. 2. Recurso em habeas corpus conhecido e provido para anular o processo-crime a que foi submetido o paciente-recorrente, ressalvando-se, contudo, que poderá o mesmo ser renovado com o aproveitamento dos atos processuais indicados na lei, caso a vítima, devidamente intimada na forma prevista na parte final do art. 91 da Lei 9.099/95, ofereça representação no prazo de trinta dias." - No mesmo sentido o HC 76.147-BA, da relatoria do Min. Ilmar Galvão, DJU de 20.02.1998. - No presente c aso os pacientes foram denunciados pelo crimes de dano culposo em equipamento militar e lesões corporais culposas, em concurso. O impetrante fundamenta o pedido deste habeas corpus exclusivamente em relação ao delito de lesões corporais culposas, mas formula o pedido para trancar todo o processo, abrangendo também o de dano culposo em equipamento militar, no que, evidentemente, não pode ser atendido. - Ante o exposto e acolhendo o parecer do Procurador-Geral da República, defiro o pedido, em parte, para declarar extinta a punibilidade pela decadência em relação ao crime de lesões corporais culposas, esclarecendo que esta ordem não alcança o crime de dano culposo em equipamento militar. Ac. de 04-05-1999 DJ de 18-06-1999 Revista dos Tribunais, Outubro de 1999 - Vol. 768 - Pág. 500 EMFOR 622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Os arts. 88 e 91 da Lei dos Juizados Especiais Cíveis e Criminais (Lei 9.099, de 26.09.1995), que exigem representação do ofendido para a instauração de ação penal pública por crime de lesões corporais leves e de lesões culposas, aplicam-se a todos e quaisquer processos, sejam os que digam respeito às leis codificadas - Código Penal e Código Penal Militar - ou às extravagantes, de qualquer natureza. Intimados os ofendidos, sem que tenham se manifestado no prazo de 30 (trinta) dias, decai o direito de o Ministério Público promover a ação penal pública.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2026-07-28T00:07:52.854Z</dcterms:created>
  <dcterms:modified xsi:type="dcterms:W3CDTF">2026-07-28T00:07:52.854Z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