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JUIZADO ESPECIAL</w:t>
      </w:r>
    </w:p>
    <w:p>
      <w:r>
        <w:rPr>
          <w:i/>
          <w:iCs/>
          <w:color w:val="666666"/>
        </w:rPr>
        <w:t xml:space="preserve">LEI 9.099 DE 26-09-1995</w:t>
      </w:r>
    </w:p>
    <w:p/>
    <w:p>
      <w:r>
        <w:rPr>
          <w:b/>
          <w:bCs/>
        </w:rPr>
        <w:t xml:space="preserve">Recurso: </w:t>
      </w:r>
      <w:r>
        <w:t xml:space="preserve">habeas corpus -</w:t>
      </w:r>
    </w:p>
    <w:p/>
    <w:p>
      <w:r>
        <w:t xml:space="preserve">INEXISTÊNCIA DE CERCEAMENTO DE DEFESA — HIPÓTESE DE "EMENDATIO LIBELLI" - ART. 383 DO CPP - APLICAÇÃO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Confrontando-se o teor da acusação e o dispositivo da sentença condenatória, verifica-se, sem qualquer dúvida, que inocorre a alegação de cerceamento de defesa, por ausência de correlação entre a denúncia e o decreto condenatório. Não houve mutatio libelli . A denúncia noticiou a ocorrência de furto de veículo que se encontrava à venda, cedido ao acusado em virtude de sua manifestação de interesse para que fosse previamente experimentado. E a vigilância do veículo conferida pelo proprietário ao filho menor determinou o emprego de fraude para iludir o menor a descer do carro a fim de que o réu pudesse empreender a fuga e consumar a subtração. - Ora, no crime de estelionato a fraude antecede o apossamento da coisa e é causa para ludibriar sua entrega pela vítima, enquanto, no furto qualificado pela fraude, o artifício malicioso é empregado para iludir a vigilância ou a atenção, figura que se concretiza nas hipóteses de subtração de veículo posto à venda mediante solicitação ardil de teste experimental ou mediante artifício que leve a vítima a descer do carro. - Em face dessas considerações, agiu o Magistrado nos precisos limites do art. 383 do CPP, que autoriza o Juiz a dar ao fato definição jurídica diversa daquela constante da denúncia, mesmo que tenha que aplicar sanção mais severa. É que, segundo o pensamento consolidado na doutrina e na jurisprudência, o acusado defende-se dos fatos e na classificação legal inscrita na denúncia. - A propósito, merece registro o magistério do ilustre jurista VCENTE GRECO FILHO, mencionado no voto condutor do acórdão denegatório do writ originário: "Pode-se dizer que a única classificação def initiva é a que se estabilizou com o trânsito em julgado da sentença; as demais são provisórias e podem ser modificadas na decisão seguinte. Desde que os fatos sobre os quais incide sejam sempre os mesmos, a alteração da classificação independe de qualquer providência ou procedimento prévio, inexistindo nisso qualquer cerceamento de defesa ou surpresa, porque o acusado defende-se de fatos e não da classificação legal, ainda que o Juiz deva aplicar pena mais elevada em virtude da nova classificação" ( Manual de processo penal , Saraiva, 1991, p. 287). - Assim, não ocorreu o alegado cerceamento de defesa, nem a mutatio libelli alegada, o que afasta, no particular, qualquer nulidade na sentença. - Em face de todo o exposto, denego o habeas corpus . - É o voto. Ac. de 27-04-1999 DJ de 17-05-1999 Revista dos Tribunais, Outubro de 1999 - Vol. 768 - Pág. 527 EMFOR 622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Conforme o autoriza o art. 383 do CPP, pode o Juiz, ao proferir a sentença condenatória, conferir ao fato descrito na denúncia definição jurídica diversa daquela que lhe deu o Ministério Público, mesmo que tenha que aplicar sanção mais severa.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2026-10-26T05:55:12.696Z</dcterms:created>
  <dcterms:modified xsi:type="dcterms:W3CDTF">2026-10-26T05:55:12.696Z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